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3600"/>
        <w:jc w:val="center"/>
      </w:pPr>
      <w:r>
        <w:rPr>
          <w:rFonts w:ascii="Times New Roman" w:cs="Times New Roman" w:eastAsia="SimHei" w:hAnsi="Times New Roman"/>
          <w:b/>
          <w:bCs/>
          <w:color w:val="1F2A36"/>
          <w:sz w:val="48"/>
          <w:szCs w:val="48"/>
        </w:rPr>
        <w:t xml:space="preserve">工业智核 APS 计划排产智能体</w:t>
      </w:r>
    </w:p>
    <w:p>
      <w:pPr>
        <w:spacing w:after="1200"/>
        <w:jc w:val="center"/>
      </w:pPr>
      <w:r>
        <w:rPr>
          <w:rFonts w:ascii="Times New Roman" w:cs="Times New Roman" w:eastAsia="SimHei" w:hAnsi="Times New Roman"/>
          <w:b/>
          <w:bCs/>
          <w:color w:val="1F2A36"/>
          <w:sz w:val="44"/>
          <w:szCs w:val="44"/>
        </w:rPr>
        <w:t xml:space="preserve">操 作 手 册</w:t>
      </w:r>
    </w:p>
    <w:p>
      <w:pPr>
        <w:spacing w:after="2400"/>
        <w:jc w:val="center"/>
      </w:pPr>
      <w:r>
        <w:rPr>
          <w:rFonts w:ascii="Times New Roman" w:cs="Times New Roman" w:eastAsia="SimSun" w:hAnsi="Times New Roman"/>
          <w:color w:val="6B7A86"/>
          <w:sz w:val="24"/>
          <w:szCs w:val="24"/>
        </w:rPr>
        <w:t xml:space="preserve">—— 基于系统当前能力的标准作业规程 ——</w:t>
      </w:r>
    </w:p>
    <w:p>
      <w:pPr>
        <w:spacing w:after="160"/>
        <w:jc w:val="center"/>
      </w:pPr>
      <w:r>
        <w:rPr>
          <w:rFonts w:ascii="Times New Roman" w:cs="Times New Roman" w:eastAsia="SimSun" w:hAnsi="Times New Roman"/>
          <w:sz w:val="24"/>
          <w:szCs w:val="24"/>
        </w:rPr>
        <w:t xml:space="preserve">文档版本：V1.0</w:t>
      </w:r>
    </w:p>
    <w:p>
      <w:pPr>
        <w:spacing w:after="160"/>
        <w:jc w:val="center"/>
      </w:pPr>
      <w:r>
        <w:rPr>
          <w:rFonts w:ascii="Times New Roman" w:cs="Times New Roman" w:eastAsia="SimSun" w:hAnsi="Times New Roman"/>
          <w:sz w:val="24"/>
          <w:szCs w:val="24"/>
        </w:rPr>
        <w:t xml:space="preserve">编制日期：2026 年 9 月 1 日</w:t>
      </w:r>
    </w:p>
    <w:p>
      <w:pPr>
        <w:spacing w:after="120" w:line="360"/>
        <w:jc w:val="center"/>
      </w:pPr>
      <w:r>
        <w:rPr>
          <w:rFonts w:ascii="Times New Roman" w:cs="Times New Roman" w:eastAsia="SimSun" w:hAnsi="Times New Roman"/>
          <w:sz w:val="24"/>
          <w:szCs w:val="24"/>
        </w:rPr>
        <w:t xml:space="preserve">适用对象：计划员、实施顾问、演示与验收人员</w:t>
      </w:r>
    </w:p>
    <w:p>
      <w:r>
        <w:br w:type="page"/>
      </w:r>
    </w:p>
    <w:p>
      <w:pPr>
        <w:pStyle w:val="Heading1"/>
        <w:spacing w:after="240" w:before="360"/>
      </w:pPr>
      <w:r>
        <w:rPr>
          <w:rFonts w:ascii="Times New Roman" w:cs="Times New Roman" w:eastAsia="SimHei" w:hAnsi="Times New Roman"/>
          <w:b/>
          <w:bCs/>
          <w:color w:val="1F2A36"/>
          <w:sz w:val="32"/>
          <w:szCs w:val="32"/>
        </w:rPr>
        <w:t xml:space="preserve">前 言</w:t>
      </w:r>
    </w:p>
    <w:p>
      <w:pPr>
        <w:spacing w:after="120" w:line="360"/>
        <w:ind w:firstLine="480"/>
        <w:jc w:val="both"/>
      </w:pPr>
      <w:r>
        <w:rPr>
          <w:rFonts w:ascii="Times New Roman" w:cs="Times New Roman" w:eastAsia="SimSun" w:hAnsi="Times New Roman"/>
          <w:sz w:val="24"/>
          <w:szCs w:val="24"/>
        </w:rPr>
        <w:t xml:space="preserve">本手册依据工业智核 APS 计划排产智能体当前代码能力编制，内容对齐产品功能清单（docs/product/features.md）、核心业务旅程（docs/product/journeys.md）及截至 2026 年 8 月 26 日的变更记录（含 round-65 至 round-67、DXF-01 图纸识别、FF-01 功能开关）。</w:t>
      </w:r>
    </w:p>
    <w:p>
      <w:pPr>
        <w:spacing w:after="120" w:line="360"/>
        <w:ind w:firstLine="480"/>
        <w:jc w:val="both"/>
      </w:pPr>
      <w:r>
        <w:rPr>
          <w:rFonts w:ascii="Times New Roman" w:cs="Times New Roman" w:eastAsia="SimSun" w:hAnsi="Times New Roman"/>
          <w:sz w:val="24"/>
          <w:szCs w:val="24"/>
        </w:rPr>
        <w:t xml:space="preserve">手册共十六章：第一至三章介绍系统定位、运行环境与界面；第四至八章按业务顺序阐述数据准备、主数据、订单、MRP 与排产操作；第九至十三章阐述计划层、动态调度、结果视图、MES 闭环与多智能体编排；第十四至十六章给出口令速查、治理安全与常见问题处置。</w:t>
      </w:r>
    </w:p>
    <w:p>
      <w:pPr>
        <w:spacing w:after="120" w:line="360"/>
        <w:ind w:firstLine="480"/>
        <w:jc w:val="both"/>
      </w:pPr>
      <w:r>
        <w:rPr>
          <w:rFonts w:ascii="Times New Roman" w:cs="Times New Roman" w:eastAsia="SimSun" w:hAnsi="Times New Roman"/>
          <w:sz w:val="24"/>
          <w:szCs w:val="24"/>
        </w:rPr>
        <w:t xml:space="preserve">本手册仅描述当前代码真实路径。凡标注权级（P0–P3）的操作，其执行均受门禁确认卡约束，任何绕过确认的执行通道在系统中不存在。</w:t>
      </w:r>
    </w:p>
    <w:p>
      <w:r>
        <w:br w:type="page"/>
      </w:r>
    </w:p>
    <w:p>
      <w:pPr>
        <w:spacing w:after="240" w:before="240"/>
        <w:jc w:val="center"/>
      </w:pPr>
      <w:r>
        <w:rPr>
          <w:rFonts w:ascii="Times New Roman" w:cs="Times New Roman" w:eastAsia="SimHei" w:hAnsi="Times New Roman"/>
          <w:b/>
          <w:bCs/>
          <w:color w:val="1F2A36"/>
          <w:sz w:val="32"/>
          <w:szCs w:val="32"/>
        </w:rPr>
        <w:t xml:space="preserve">目 录</w:t>
      </w:r>
    </w:p>
    <w:p>
      <w:pPr>
        <w:spacing w:after="120" w:line="360"/>
        <w:ind w:firstLine="480"/>
      </w:pPr>
      <w:r>
        <w:rPr>
          <w:rFonts w:ascii="Times New Roman" w:cs="Times New Roman" w:eastAsia="SimSun" w:hAnsi="Times New Roman"/>
          <w:i/>
          <w:iCs/>
          <w:color w:val="6B7A86"/>
          <w:sz w:val="21"/>
          <w:szCs w:val="21"/>
        </w:rPr>
        <w:t xml:space="preserve">打开文档后，右键目录选择“更新域”即可刷新页码。</w:t>
      </w:r>
    </w:p>
    <w:sdt xmlns:w="http://schemas.openxmlformats.org/wordprocessingml/2006/main">
      <w:sdtPr>
        <w:alias w:val="目录"/>
      </w:sdtPr>
      <w:sdtContent>
        <w:p>
          <w:r>
            <w:fldChar w:fldCharType="begin" w:dirty="true"/>
            <w:instrText xml:space="preserve"> TOC \o "1-3" \h \z \u </w:instrText>
            <w:fldChar w:fldCharType="separate"/>
          </w:r>
        </w:p>
        <w:p>
          <w:pPr>
            <w:pStyle w:val="TOC1"/>
            <w:tabs>
              <w:tab w:val="right" w:leader="dot" w:pos="9000"/>
            </w:tabs>
            <w:ind w:left="0"/>
          </w:pPr>
          <w:r>
            <w:t>第一章 系统概述</w:t>
          </w:r>
          <w:r>
            <w:tab/>
          </w:r>
          <w:r>
            <w:t>4</w:t>
          </w:r>
        </w:p>
        <w:p>
          <w:pPr>
            <w:pStyle w:val="TOC1"/>
            <w:tabs>
              <w:tab w:val="right" w:leader="dot" w:pos="9000"/>
            </w:tabs>
            <w:ind w:left="0"/>
          </w:pPr>
          <w:r>
            <w:t>第二章 运行环境与系统启动</w:t>
          </w:r>
          <w:r>
            <w:tab/>
          </w:r>
          <w:r>
            <w:t>5</w:t>
          </w:r>
        </w:p>
        <w:p>
          <w:pPr>
            <w:pStyle w:val="TOC1"/>
            <w:tabs>
              <w:tab w:val="right" w:leader="dot" w:pos="9000"/>
            </w:tabs>
            <w:ind w:left="0"/>
          </w:pPr>
          <w:r>
            <w:t>第三章 登录授权与界面导览</w:t>
          </w:r>
          <w:r>
            <w:tab/>
          </w:r>
          <w:r>
            <w:t>6</w:t>
          </w:r>
        </w:p>
        <w:p>
          <w:pPr>
            <w:pStyle w:val="TOC1"/>
            <w:tabs>
              <w:tab w:val="right" w:leader="dot" w:pos="9000"/>
            </w:tabs>
            <w:ind w:left="0"/>
          </w:pPr>
          <w:r>
            <w:t>第四章 数据准备</w:t>
          </w:r>
          <w:r>
            <w:tab/>
          </w:r>
          <w:r>
            <w:t>7</w:t>
          </w:r>
        </w:p>
        <w:p>
          <w:pPr>
            <w:pStyle w:val="TOC1"/>
            <w:tabs>
              <w:tab w:val="right" w:leader="dot" w:pos="9000"/>
            </w:tabs>
            <w:ind w:left="0"/>
          </w:pPr>
          <w:r>
            <w:t>第五章 主数据维护</w:t>
          </w:r>
          <w:r>
            <w:tab/>
          </w:r>
          <w:r>
            <w:t>8</w:t>
          </w:r>
        </w:p>
        <w:p>
          <w:pPr>
            <w:pStyle w:val="TOC1"/>
            <w:tabs>
              <w:tab w:val="right" w:leader="dot" w:pos="9000"/>
            </w:tabs>
            <w:ind w:left="0"/>
          </w:pPr>
          <w:r>
            <w:t>第六章 订单管理</w:t>
          </w:r>
          <w:r>
            <w:tab/>
          </w:r>
          <w:r>
            <w:t>9</w:t>
          </w:r>
        </w:p>
        <w:p>
          <w:pPr>
            <w:pStyle w:val="TOC1"/>
            <w:tabs>
              <w:tab w:val="right" w:leader="dot" w:pos="9000"/>
            </w:tabs>
            <w:ind w:left="0"/>
          </w:pPr>
          <w:r>
            <w:t>第七章 物料需求分解（MRP）</w:t>
          </w:r>
          <w:r>
            <w:tab/>
          </w:r>
          <w:r>
            <w:t>10</w:t>
          </w:r>
        </w:p>
        <w:p>
          <w:pPr>
            <w:pStyle w:val="TOC1"/>
            <w:tabs>
              <w:tab w:val="right" w:leader="dot" w:pos="9000"/>
            </w:tabs>
            <w:ind w:left="0"/>
          </w:pPr>
          <w:r>
            <w:t>第八章 排产操作</w:t>
          </w:r>
          <w:r>
            <w:tab/>
          </w:r>
          <w:r>
            <w:t>11</w:t>
          </w:r>
        </w:p>
        <w:p>
          <w:pPr>
            <w:pStyle w:val="TOC1"/>
            <w:tabs>
              <w:tab w:val="right" w:leader="dot" w:pos="9000"/>
            </w:tabs>
            <w:ind w:left="0"/>
          </w:pPr>
          <w:r>
            <w:t>第九章 计划层功能</w:t>
          </w:r>
          <w:r>
            <w:tab/>
          </w:r>
          <w:r>
            <w:t>12</w:t>
          </w:r>
        </w:p>
        <w:p>
          <w:pPr>
            <w:pStyle w:val="TOC1"/>
            <w:tabs>
              <w:tab w:val="right" w:leader="dot" w:pos="9000"/>
            </w:tabs>
            <w:ind w:left="0"/>
          </w:pPr>
          <w:r>
            <w:t>第十章 动态调度与异常重排</w:t>
          </w:r>
          <w:r>
            <w:tab/>
          </w:r>
          <w:r>
            <w:t>13</w:t>
          </w:r>
        </w:p>
        <w:p>
          <w:pPr>
            <w:pStyle w:val="TOC1"/>
            <w:tabs>
              <w:tab w:val="right" w:leader="dot" w:pos="9000"/>
            </w:tabs>
            <w:ind w:left="0"/>
          </w:pPr>
          <w:r>
            <w:t>第十一章 结果视图与报表</w:t>
          </w:r>
          <w:r>
            <w:tab/>
          </w:r>
          <w:r>
            <w:t>14</w:t>
          </w:r>
        </w:p>
        <w:p>
          <w:pPr>
            <w:pStyle w:val="TOC1"/>
            <w:tabs>
              <w:tab w:val="right" w:leader="dot" w:pos="9000"/>
            </w:tabs>
            <w:ind w:left="0"/>
          </w:pPr>
          <w:r>
            <w:t>第十二章 MES 下发与执行闭环</w:t>
          </w:r>
          <w:r>
            <w:tab/>
          </w:r>
          <w:r>
            <w:t>15</w:t>
          </w:r>
        </w:p>
        <w:p>
          <w:pPr>
            <w:pStyle w:val="TOC1"/>
            <w:tabs>
              <w:tab w:val="right" w:leader="dot" w:pos="9000"/>
            </w:tabs>
            <w:ind w:left="0"/>
          </w:pPr>
          <w:r>
            <w:t>第十三章 多智能体编排</w:t>
          </w:r>
          <w:r>
            <w:tab/>
          </w:r>
          <w:r>
            <w:t>16</w:t>
          </w:r>
        </w:p>
        <w:p>
          <w:pPr>
            <w:pStyle w:val="TOC1"/>
            <w:tabs>
              <w:tab w:val="right" w:leader="dot" w:pos="9000"/>
            </w:tabs>
            <w:ind w:left="0"/>
          </w:pPr>
          <w:r>
            <w:t>第十四章 对话口令速查</w:t>
          </w:r>
          <w:r>
            <w:tab/>
          </w:r>
          <w:r>
            <w:t>17</w:t>
          </w:r>
        </w:p>
        <w:p>
          <w:pPr>
            <w:pStyle w:val="TOC1"/>
            <w:tabs>
              <w:tab w:val="right" w:leader="dot" w:pos="9000"/>
            </w:tabs>
            <w:ind w:left="0"/>
          </w:pPr>
          <w:r>
            <w:t>第十五章 治理与安全</w:t>
          </w:r>
          <w:r>
            <w:tab/>
          </w:r>
          <w:r>
            <w:t>18</w:t>
          </w:r>
        </w:p>
        <w:p>
          <w:pPr>
            <w:pStyle w:val="TOC1"/>
            <w:tabs>
              <w:tab w:val="right" w:leader="dot" w:pos="9000"/>
            </w:tabs>
            <w:ind w:left="0"/>
          </w:pPr>
          <w:r>
            <w:t>第十六章 常见问题与验收</w:t>
          </w:r>
          <w:r>
            <w:tab/>
          </w:r>
          <w:r>
            <w:t>19</w:t>
          </w:r>
        </w:p>
        <w:p>
          <w:r>
            <w:fldChar w:fldCharType="end"/>
          </w:r>
        </w:p>
      </w:sdtContent>
    </w:sdt>
    <w:p>
      <w:r>
        <w:br w:type="page"/>
      </w:r>
    </w:p>
    <w:p>
      <w:pPr>
        <w:pStyle w:val="Heading1"/>
        <w:spacing w:after="240" w:before="360"/>
      </w:pPr>
      <w:r>
        <w:rPr>
          <w:rFonts w:ascii="Times New Roman" w:cs="Times New Roman" w:eastAsia="SimHei" w:hAnsi="Times New Roman"/>
          <w:b/>
          <w:bCs/>
          <w:color w:val="1F2A36"/>
          <w:sz w:val="32"/>
          <w:szCs w:val="32"/>
        </w:rPr>
        <w:t xml:space="preserve">第一章 系统概述</w:t>
      </w:r>
    </w:p>
    <w:p>
      <w:pPr>
        <w:pStyle w:val="Heading2"/>
        <w:spacing w:after="160" w:before="280"/>
      </w:pPr>
      <w:r>
        <w:rPr>
          <w:rFonts w:ascii="Times New Roman" w:cs="Times New Roman" w:eastAsia="SimHei" w:hAnsi="Times New Roman"/>
          <w:b/>
          <w:bCs/>
          <w:color w:val="1F2A36"/>
          <w:sz w:val="28"/>
          <w:szCs w:val="28"/>
        </w:rPr>
        <w:t xml:space="preserve">1.1 系统定位</w:t>
      </w:r>
    </w:p>
    <w:p>
      <w:pPr>
        <w:spacing w:after="120" w:line="360"/>
        <w:ind w:firstLine="480"/>
        <w:jc w:val="both"/>
      </w:pPr>
      <w:r>
        <w:rPr>
          <w:rFonts w:ascii="Times New Roman" w:cs="Times New Roman" w:eastAsia="SimSun" w:hAnsi="Times New Roman"/>
          <w:sz w:val="24"/>
          <w:szCs w:val="24"/>
        </w:rPr>
        <w:t xml:space="preserve">工业智核 APS 计划排产智能体是一套以“自然语言对话 + 可视化排产工作台”双交互范式为核心的高级计划与排产系统。系统左侧为对话通道，右侧为可视化工作台，用户以一句话发起业务动作，右侧视图随即刷新，形成“左说右动”的闭环交互。</w:t>
      </w:r>
    </w:p>
    <w:p>
      <w:pPr>
        <w:spacing w:after="120" w:line="360"/>
        <w:ind w:firstLine="480"/>
        <w:jc w:val="both"/>
      </w:pPr>
      <w:r>
        <w:rPr>
          <w:rFonts w:ascii="Times New Roman" w:cs="Times New Roman" w:eastAsia="SimSun" w:hAnsi="Times New Roman"/>
          <w:sz w:val="24"/>
          <w:szCs w:val="24"/>
        </w:rPr>
        <w:t xml:space="preserve">系统核心业务链路为：销售订单 → MRP 分解（自制 / 采购 / 委外）→ 多策略试排（规则引擎 / CP-SAT / 遗传算法 / NSGA-II）→ 方案对比 → P2 确认发布 → MES 下发 → 报工回流。</w:t>
      </w:r>
    </w:p>
    <w:p>
      <w:pPr>
        <w:pStyle w:val="Heading2"/>
        <w:spacing w:after="160" w:before="280"/>
      </w:pPr>
      <w:r>
        <w:rPr>
          <w:rFonts w:ascii="Times New Roman" w:cs="Times New Roman" w:eastAsia="SimHei" w:hAnsi="Times New Roman"/>
          <w:b/>
          <w:bCs/>
          <w:color w:val="1F2A36"/>
          <w:sz w:val="28"/>
          <w:szCs w:val="28"/>
        </w:rPr>
        <w:t xml:space="preserve">1.2 双排产模型</w:t>
      </w:r>
    </w:p>
    <w:p>
      <w:pPr>
        <w:spacing w:after="120" w:line="360"/>
        <w:ind w:firstLine="480"/>
        <w:jc w:val="both"/>
      </w:pPr>
      <w:r>
        <w:rPr>
          <w:rFonts w:ascii="Times New Roman" w:cs="Times New Roman" w:eastAsia="SimSun" w:hAnsi="Times New Roman"/>
          <w:sz w:val="24"/>
          <w:szCs w:val="24"/>
        </w:rPr>
        <w:t xml:space="preserve">系统并行维护两条排产轨道，分别对应不同的生产组织形态，界面对当前所走链路予以明确标识，禁止混谈。</w:t>
      </w:r>
    </w:p>
    <w:p>
      <w:pPr>
        <w:spacing w:after="80" w:before="120"/>
        <w:jc w:val="center"/>
      </w:pPr>
      <w:r>
        <w:rPr>
          <w:rFonts w:ascii="Times New Roman" w:cs="Times New Roman" w:eastAsia="SimHei" w:hAnsi="Times New Roman"/>
          <w:b/>
          <w:bCs/>
          <w:color w:val="2F4858"/>
          <w:sz w:val="21"/>
          <w:szCs w:val="21"/>
        </w:rPr>
        <w:t xml:space="preserve">表 1-1 双排产模型对比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4200"/>
        <w:gridCol w:w="3400"/>
      </w:tblGrid>
      <w:tr>
        <w:trPr>
          <w:tblHeader/>
        </w:trPr>
        <w:tc>
          <w:tcPr>
            <w:tcW w:type="dxa" w:w="1600"/>
            <w:tcBorders>
              <w:top w:val="single" w:color="1F2A36" w:sz="12"/>
              <w:left w:val="none" w:color="FFFFFF" w:sz="0"/>
              <w:bottom w:val="single" w:color="1F2A36" w:sz="6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Hei" w:hAnsi="Times New Roman"/>
                <w:b/>
                <w:bCs/>
                <w:sz w:val="21"/>
                <w:szCs w:val="21"/>
              </w:rPr>
              <w:t xml:space="preserve">轨道</w:t>
            </w:r>
          </w:p>
        </w:tc>
        <w:tc>
          <w:tcPr>
            <w:tcW w:type="dxa" w:w="4200"/>
            <w:tcBorders>
              <w:top w:val="single" w:color="1F2A36" w:sz="12"/>
              <w:left w:val="none" w:color="FFFFFF" w:sz="0"/>
              <w:bottom w:val="single" w:color="1F2A36" w:sz="6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Hei" w:hAnsi="Times New Roman"/>
                <w:b/>
                <w:bCs/>
                <w:sz w:val="21"/>
                <w:szCs w:val="21"/>
              </w:rPr>
              <w:t xml:space="preserve">资源模型</w:t>
            </w:r>
          </w:p>
        </w:tc>
        <w:tc>
          <w:tcPr>
            <w:tcW w:type="dxa" w:w="3400"/>
            <w:tcBorders>
              <w:top w:val="single" w:color="1F2A36" w:sz="12"/>
              <w:left w:val="none" w:color="FFFFFF" w:sz="0"/>
              <w:bottom w:val="single" w:color="1F2A36" w:sz="6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Hei" w:hAnsi="Times New Roman"/>
                <w:b/>
                <w:bCs/>
                <w:sz w:val="21"/>
                <w:szCs w:val="21"/>
              </w:rPr>
              <w:t xml:space="preserve">适用场景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固定轨</w:t>
            </w:r>
          </w:p>
        </w:tc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产线选线 + 工位占槽（RuleEngine / CP / GA / HYBRID）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产线固定的常规离散制造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1F2A36" w:sz="12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柔性轨</w:t>
            </w:r>
          </w:p>
        </w:tc>
        <w:tc>
          <w:tcPr>
            <w:tcW w:type="dxa" w:w="4200"/>
            <w:tcBorders>
              <w:top w:val="none" w:color="FFFFFF" w:sz="0"/>
              <w:left w:val="none" w:color="FFFFFF" w:sz="0"/>
              <w:bottom w:val="single" w:color="1F2A36" w:sz="12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能力池 + 虚拟产线（PoolEngine）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single" w:color="1F2A36" w:sz="12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多品种小批量、设备可移动（如线束 / PDU 共线）</w:t>
            </w:r>
          </w:p>
        </w:tc>
      </w:tr>
    </w:tbl>
    <w:p>
      <w:pPr>
        <w:spacing w:after="120" w:line="360"/>
      </w:pPr>
      <w:r>
        <w:rPr>
          <w:rFonts w:ascii="Times New Roman" w:cs="Times New Roman" w:eastAsia="SimSun" w:hAnsi="Times New Roman"/>
          <w:sz w:val="24"/>
          <w:szCs w:val="24"/>
        </w:rPr>
        <w:t xml:space="preserve"/>
      </w:r>
    </w:p>
    <w:p>
      <w:pPr>
        <w:pStyle w:val="Heading2"/>
        <w:spacing w:after="160" w:before="280"/>
      </w:pPr>
      <w:r>
        <w:rPr>
          <w:rFonts w:ascii="Times New Roman" w:cs="Times New Roman" w:eastAsia="SimHei" w:hAnsi="Times New Roman"/>
          <w:b/>
          <w:bCs/>
          <w:color w:val="1F2A36"/>
          <w:sz w:val="28"/>
          <w:szCs w:val="28"/>
        </w:rPr>
        <w:t xml:space="preserve">1.3 安全与治理原则</w:t>
      </w:r>
    </w:p>
    <w:p>
      <w:pPr>
        <w:spacing w:after="120" w:line="360"/>
        <w:ind w:firstLine="480"/>
        <w:jc w:val="both"/>
      </w:pPr>
      <w:r>
        <w:rPr>
          <w:rFonts w:ascii="Times New Roman" w:cs="Times New Roman" w:eastAsia="SimSun" w:hAnsi="Times New Roman"/>
          <w:sz w:val="24"/>
          <w:szCs w:val="24"/>
        </w:rPr>
        <w:t xml:space="preserve">系统一切写操作均经门禁确认卡执行：P2 级动作出具单次确认卡，P3 级外部副作用动作执行二次确认；执行前自动建立检查点，全程写入审计哈希链。试排仅产出 DRAFT 草稿版本，系统不自动发布；回滚执行前自动再次存档，构成可恢复的安全网。</w:t>
      </w:r>
    </w:p>
    <w:p>
      <w:pPr>
        <w:pStyle w:val="Heading1"/>
        <w:spacing w:after="240" w:before="360"/>
      </w:pPr>
      <w:r>
        <w:rPr>
          <w:rFonts w:ascii="Times New Roman" w:cs="Times New Roman" w:eastAsia="SimHei" w:hAnsi="Times New Roman"/>
          <w:b/>
          <w:bCs/>
          <w:color w:val="1F2A36"/>
          <w:sz w:val="32"/>
          <w:szCs w:val="32"/>
        </w:rPr>
        <w:t xml:space="preserve">第二章 运行环境与系统启动</w:t>
      </w:r>
    </w:p>
    <w:p>
      <w:pPr>
        <w:pStyle w:val="Heading2"/>
        <w:spacing w:after="160" w:before="280"/>
      </w:pPr>
      <w:r>
        <w:rPr>
          <w:rFonts w:ascii="Times New Roman" w:cs="Times New Roman" w:eastAsia="SimHei" w:hAnsi="Times New Roman"/>
          <w:b/>
          <w:bCs/>
          <w:color w:val="1F2A36"/>
          <w:sz w:val="28"/>
          <w:szCs w:val="28"/>
        </w:rPr>
        <w:t xml:space="preserve">2.1 交付形态</w:t>
      </w:r>
    </w:p>
    <w:p>
      <w:pPr>
        <w:spacing w:after="80" w:before="120"/>
        <w:jc w:val="center"/>
      </w:pPr>
      <w:r>
        <w:rPr>
          <w:rFonts w:ascii="Times New Roman" w:cs="Times New Roman" w:eastAsia="SimHei" w:hAnsi="Times New Roman"/>
          <w:b/>
          <w:bCs/>
          <w:color w:val="2F4858"/>
          <w:sz w:val="21"/>
          <w:szCs w:val="21"/>
        </w:rPr>
        <w:t xml:space="preserve">表 2-1 Web 与桌面双形态对比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2900"/>
        <w:gridCol w:w="3100"/>
        <w:gridCol w:w="2100"/>
      </w:tblGrid>
      <w:tr>
        <w:trPr>
          <w:tblHeader/>
        </w:trPr>
        <w:tc>
          <w:tcPr>
            <w:tcW w:type="dxa" w:w="1100"/>
            <w:tcBorders>
              <w:top w:val="single" w:color="1F2A36" w:sz="12"/>
              <w:left w:val="none" w:color="FFFFFF" w:sz="0"/>
              <w:bottom w:val="single" w:color="1F2A36" w:sz="6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Hei" w:hAnsi="Times New Roman"/>
                <w:b/>
                <w:bCs/>
                <w:sz w:val="21"/>
                <w:szCs w:val="21"/>
              </w:rPr>
              <w:t xml:space="preserve">形态</w:t>
            </w:r>
          </w:p>
        </w:tc>
        <w:tc>
          <w:tcPr>
            <w:tcW w:type="dxa" w:w="2900"/>
            <w:tcBorders>
              <w:top w:val="single" w:color="1F2A36" w:sz="12"/>
              <w:left w:val="none" w:color="FFFFFF" w:sz="0"/>
              <w:bottom w:val="single" w:color="1F2A36" w:sz="6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Hei" w:hAnsi="Times New Roman"/>
                <w:b/>
                <w:bCs/>
                <w:sz w:val="21"/>
                <w:szCs w:val="21"/>
              </w:rPr>
              <w:t xml:space="preserve">数据位置</w:t>
            </w:r>
          </w:p>
        </w:tc>
        <w:tc>
          <w:tcPr>
            <w:tcW w:type="dxa" w:w="3100"/>
            <w:tcBorders>
              <w:top w:val="single" w:color="1F2A36" w:sz="12"/>
              <w:left w:val="none" w:color="FFFFFF" w:sz="0"/>
              <w:bottom w:val="single" w:color="1F2A36" w:sz="6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Hei" w:hAnsi="Times New Roman"/>
                <w:b/>
                <w:bCs/>
                <w:sz w:val="21"/>
                <w:szCs w:val="21"/>
              </w:rPr>
              <w:t xml:space="preserve">启动方式</w:t>
            </w:r>
          </w:p>
        </w:tc>
        <w:tc>
          <w:tcPr>
            <w:tcW w:type="dxa" w:w="2100"/>
            <w:tcBorders>
              <w:top w:val="single" w:color="1F2A36" w:sz="12"/>
              <w:left w:val="none" w:color="FFFFFF" w:sz="0"/>
              <w:bottom w:val="single" w:color="1F2A36" w:sz="6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Hei" w:hAnsi="Times New Roman"/>
                <w:b/>
                <w:bCs/>
                <w:sz w:val="21"/>
                <w:szCs w:val="21"/>
              </w:rPr>
              <w:t xml:space="preserve">账号体系</w:t>
            </w:r>
          </w:p>
        </w:tc>
      </w:tr>
      <w:tr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Web</w:t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仓库 server/data/（或 APS_HOME）</w:t>
            </w:r>
          </w:p>
        </w:tc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npm run dev:web，浏览器访问 http://localhost:5173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JMS 企业账号登录</w:t>
            </w:r>
          </w:p>
        </w:tc>
      </w:tr>
      <w:tr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1F2A36" w:sz="12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桌面</w:t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single" w:color="1F2A36" w:sz="12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C:\\Users\\&lt;用户&gt;\\.aps（与开发环境隔离）</w:t>
            </w:r>
          </w:p>
        </w:tc>
        <w:tc>
          <w:tcPr>
            <w:tcW w:type="dxa" w:w="3100"/>
            <w:tcBorders>
              <w:top w:val="none" w:color="FFFFFF" w:sz="0"/>
              <w:left w:val="none" w:color="FFFFFF" w:sz="0"/>
              <w:bottom w:val="single" w:color="1F2A36" w:sz="12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npm run dev:desktop 或安装 release 目录下的 NSIS 安装包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single" w:color="1F2A36" w:sz="12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免账号，授权码激活</w:t>
            </w:r>
          </w:p>
        </w:tc>
      </w:tr>
    </w:tbl>
    <w:p>
      <w:pPr>
        <w:spacing w:after="120" w:line="360"/>
      </w:pPr>
      <w:r>
        <w:rPr>
          <w:rFonts w:ascii="Times New Roman" w:cs="Times New Roman" w:eastAsia="SimSun" w:hAnsi="Times New Roman"/>
          <w:sz w:val="24"/>
          <w:szCs w:val="24"/>
        </w:rPr>
        <w:t xml:space="preserve"/>
      </w:r>
    </w:p>
    <w:p>
      <w:pPr>
        <w:pStyle w:val="Heading2"/>
        <w:spacing w:after="160" w:before="280"/>
      </w:pPr>
      <w:r>
        <w:rPr>
          <w:rFonts w:ascii="Times New Roman" w:cs="Times New Roman" w:eastAsia="SimHei" w:hAnsi="Times New Roman"/>
          <w:b/>
          <w:bCs/>
          <w:color w:val="1F2A36"/>
          <w:sz w:val="28"/>
          <w:szCs w:val="28"/>
        </w:rPr>
        <w:t xml:space="preserve">2.2 依赖安装</w:t>
      </w:r>
    </w:p>
    <w:p>
      <w:pPr>
        <w:spacing w:after="120" w:line="360"/>
        <w:ind w:firstLine="480"/>
        <w:jc w:val="both"/>
      </w:pPr>
      <w:r>
        <w:rPr>
          <w:rFonts w:ascii="Times New Roman" w:cs="Times New Roman" w:eastAsia="SimSun" w:hAnsi="Times New Roman"/>
          <w:sz w:val="24"/>
          <w:szCs w:val="24"/>
        </w:rPr>
        <w:t xml:space="preserve">首次部署需完成 Python 与 Node 双侧依赖安装，在仓库根目录依次执行：</w:t>
      </w:r>
    </w:p>
    <w:p>
      <w:pPr>
        <w:shd w:fill="F2F5F7" w:val="clear"/>
        <w:spacing w:after="40" w:line="280"/>
        <w:ind w:left="480"/>
      </w:pPr>
      <w:r>
        <w:rPr>
          <w:rFonts w:ascii="Consolas" w:cs="Consolas" w:eastAsia="SimSun" w:hAnsi="Consolas"/>
          <w:sz w:val="20"/>
          <w:szCs w:val="20"/>
        </w:rPr>
        <w:t xml:space="preserve">cd D:\\ItemSpace\\14.工业智核\\aps-agent</w:t>
      </w:r>
    </w:p>
    <w:p>
      <w:pPr>
        <w:shd w:fill="F2F5F7" w:val="clear"/>
        <w:spacing w:after="40" w:line="280"/>
        <w:ind w:left="480"/>
      </w:pPr>
      <w:r>
        <w:rPr>
          <w:rFonts w:ascii="Consolas" w:cs="Consolas" w:eastAsia="SimSun" w:hAnsi="Consolas"/>
          <w:sz w:val="20"/>
          <w:szCs w:val="20"/>
        </w:rPr>
        <w:t xml:space="preserve">python -m venv .venv</w:t>
      </w:r>
    </w:p>
    <w:p>
      <w:pPr>
        <w:shd w:fill="F2F5F7" w:val="clear"/>
        <w:spacing w:after="40" w:line="280"/>
        <w:ind w:left="480"/>
      </w:pPr>
      <w:r>
        <w:rPr>
          <w:rFonts w:ascii="Consolas" w:cs="Consolas" w:eastAsia="SimSun" w:hAnsi="Consolas"/>
          <w:sz w:val="20"/>
          <w:szCs w:val="20"/>
        </w:rPr>
        <w:t xml:space="preserve">.venv\\Scripts\\activate</w:t>
      </w:r>
    </w:p>
    <w:p>
      <w:pPr>
        <w:shd w:fill="F2F5F7" w:val="clear"/>
        <w:spacing w:after="40" w:line="280"/>
        <w:ind w:left="480"/>
      </w:pPr>
      <w:r>
        <w:rPr>
          <w:rFonts w:ascii="Consolas" w:cs="Consolas" w:eastAsia="SimSun" w:hAnsi="Consolas"/>
          <w:sz w:val="20"/>
          <w:szCs w:val="20"/>
        </w:rPr>
        <w:t xml:space="preserve">pip install -r requirements.txt</w:t>
      </w:r>
    </w:p>
    <w:p>
      <w:pPr>
        <w:shd w:fill="F2F5F7" w:val="clear"/>
        <w:spacing w:after="40" w:line="280"/>
        <w:ind w:left="480"/>
      </w:pPr>
      <w:r>
        <w:rPr>
          <w:rFonts w:ascii="Consolas" w:cs="Consolas" w:eastAsia="SimSun" w:hAnsi="Consolas"/>
          <w:sz w:val="20"/>
          <w:szCs w:val="20"/>
        </w:rPr>
        <w:t xml:space="preserve">copy .env.example .env</w:t>
      </w:r>
    </w:p>
    <w:p>
      <w:pPr>
        <w:shd w:fill="F2F5F7" w:val="clear"/>
        <w:spacing w:after="40" w:line="280"/>
        <w:ind w:left="480"/>
      </w:pPr>
      <w:r>
        <w:rPr>
          <w:rFonts w:ascii="Consolas" w:cs="Consolas" w:eastAsia="SimSun" w:hAnsi="Consolas"/>
          <w:sz w:val="20"/>
          <w:szCs w:val="20"/>
        </w:rPr>
        <w:t xml:space="preserve">npm run bootstrap</w:t>
      </w:r>
    </w:p>
    <w:p>
      <w:pPr>
        <w:pStyle w:val="Heading2"/>
        <w:spacing w:after="160" w:before="280"/>
      </w:pPr>
      <w:r>
        <w:rPr>
          <w:rFonts w:ascii="Times New Roman" w:cs="Times New Roman" w:eastAsia="SimHei" w:hAnsi="Times New Roman"/>
          <w:b/>
          <w:bCs/>
          <w:color w:val="1F2A36"/>
          <w:sz w:val="28"/>
          <w:szCs w:val="28"/>
        </w:rPr>
        <w:t xml:space="preserve">2.3 Web 端登录配置</w:t>
      </w:r>
    </w:p>
    <w:p>
      <w:pPr>
        <w:spacing w:after="120" w:line="360"/>
        <w:ind w:firstLine="480"/>
        <w:jc w:val="both"/>
      </w:pPr>
      <w:r>
        <w:rPr>
          <w:rFonts w:ascii="Times New Roman" w:cs="Times New Roman" w:eastAsia="SimSun" w:hAnsi="Times New Roman"/>
          <w:sz w:val="24"/>
          <w:szCs w:val="24"/>
        </w:rPr>
        <w:t xml:space="preserve">Web 端联调用户登录前，须在 .env 文件中配置 JMS 地址与本地会话密钥：</w:t>
      </w:r>
    </w:p>
    <w:p>
      <w:pPr>
        <w:shd w:fill="F2F5F7" w:val="clear"/>
        <w:spacing w:after="40" w:line="280"/>
        <w:ind w:left="480"/>
      </w:pPr>
      <w:r>
        <w:rPr>
          <w:rFonts w:ascii="Consolas" w:cs="Consolas" w:eastAsia="SimSun" w:hAnsi="Consolas"/>
          <w:sz w:val="20"/>
          <w:szCs w:val="20"/>
        </w:rPr>
        <w:t xml:space="preserve">APS_AUTH_PROVIDER=jms</w:t>
      </w:r>
    </w:p>
    <w:p>
      <w:pPr>
        <w:shd w:fill="F2F5F7" w:val="clear"/>
        <w:spacing w:after="40" w:line="280"/>
        <w:ind w:left="480"/>
      </w:pPr>
      <w:r>
        <w:rPr>
          <w:rFonts w:ascii="Consolas" w:cs="Consolas" w:eastAsia="SimSun" w:hAnsi="Consolas"/>
          <w:sz w:val="20"/>
          <w:szCs w:val="20"/>
        </w:rPr>
        <w:t xml:space="preserve">JMS_AUTH_BASE_URL=https://jms-mes-api.jzplat.com</w:t>
      </w:r>
    </w:p>
    <w:p>
      <w:pPr>
        <w:shd w:fill="F2F5F7" w:val="clear"/>
        <w:spacing w:after="40" w:line="280"/>
        <w:ind w:left="480"/>
      </w:pPr>
      <w:r>
        <w:rPr>
          <w:rFonts w:ascii="Consolas" w:cs="Consolas" w:eastAsia="SimSun" w:hAnsi="Consolas"/>
          <w:sz w:val="20"/>
          <w:szCs w:val="20"/>
        </w:rPr>
        <w:t xml:space="preserve">JMS_AUTH_SESSION_SECRET=至少32个随机字符</w:t>
      </w:r>
    </w:p>
    <w:p>
      <w:pPr>
        <w:shd w:fill="F2F5F7" w:val="clear"/>
        <w:spacing w:after="40" w:line="280"/>
        <w:ind w:left="480"/>
      </w:pPr>
      <w:r>
        <w:rPr>
          <w:rFonts w:ascii="Consolas" w:cs="Consolas" w:eastAsia="SimSun" w:hAnsi="Consolas"/>
          <w:sz w:val="20"/>
          <w:szCs w:val="20"/>
        </w:rPr>
        <w:t xml:space="preserve">APS_LICENSE_PROVIDER=mock</w:t>
      </w:r>
    </w:p>
    <w:p>
      <w:pPr>
        <w:spacing w:after="120" w:line="360"/>
        <w:ind w:firstLine="480"/>
        <w:jc w:val="both"/>
      </w:pPr>
      <w:r>
        <w:rPr>
          <w:rFonts w:ascii="Times New Roman" w:cs="Times New Roman" w:eastAsia="SimSun" w:hAnsi="Times New Roman"/>
          <w:sz w:val="24"/>
          <w:szCs w:val="24"/>
        </w:rPr>
        <w:t xml:space="preserve">如需限制为单一企业，可追加配置 JMS_AUTH_TENANT_CODE 与 JMS_AUTH_TENANT_NAME。JMS 当前无自助注册与自助找回密码接口，账号创建与密码重置由所属企业管理员处理。</w:t>
      </w:r>
    </w:p>
    <w:p>
      <w:pPr>
        <w:pStyle w:val="Heading2"/>
        <w:spacing w:after="160" w:before="280"/>
      </w:pPr>
      <w:r>
        <w:rPr>
          <w:rFonts w:ascii="Times New Roman" w:cs="Times New Roman" w:eastAsia="SimHei" w:hAnsi="Times New Roman"/>
          <w:b/>
          <w:bCs/>
          <w:color w:val="1F2A36"/>
          <w:sz w:val="28"/>
          <w:szCs w:val="28"/>
        </w:rPr>
        <w:t xml:space="preserve">2.4 启动与打包</w:t>
      </w:r>
    </w:p>
    <w:p>
      <w:pPr>
        <w:pStyle w:val="ListParagraph"/>
        <w:numPr>
          <w:ilvl w:val="0"/>
          <w:numId w:val="1"/>
        </w:numPr>
        <w:spacing w:after="120" w:line="360"/>
        <w:ind w:left="480"/>
      </w:pPr>
      <w:r>
        <w:rPr>
          <w:rFonts w:ascii="Times New Roman" w:cs="Times New Roman" w:eastAsia="SimSun" w:hAnsi="Times New Roman"/>
          <w:sz w:val="24"/>
          <w:szCs w:val="24"/>
        </w:rPr>
        <w:t xml:space="preserve">开发运行（Web）：npm run dev:web，前端 http://localhost:5173，API http://localhost:8000；</w:t>
      </w:r>
    </w:p>
    <w:p>
      <w:pPr>
        <w:pStyle w:val="ListParagraph"/>
        <w:numPr>
          <w:ilvl w:val="0"/>
          <w:numId w:val="1"/>
        </w:numPr>
        <w:spacing w:after="120" w:line="360"/>
        <w:ind w:left="480"/>
      </w:pPr>
      <w:r>
        <w:rPr>
          <w:rFonts w:ascii="Times New Roman" w:cs="Times New Roman" w:eastAsia="SimSun" w:hAnsi="Times New Roman"/>
          <w:sz w:val="24"/>
          <w:szCs w:val="24"/>
        </w:rPr>
        <w:t xml:space="preserve">开发运行（桌面）：npm run dev:desktop，启动 Electron 窗口；</w:t>
      </w:r>
    </w:p>
    <w:p>
      <w:pPr>
        <w:pStyle w:val="ListParagraph"/>
        <w:numPr>
          <w:ilvl w:val="0"/>
          <w:numId w:val="1"/>
        </w:numPr>
        <w:spacing w:after="120" w:line="360"/>
        <w:ind w:left="480"/>
      </w:pPr>
      <w:r>
        <w:rPr>
          <w:rFonts w:ascii="Times New Roman" w:cs="Times New Roman" w:eastAsia="SimSun" w:hAnsi="Times New Roman"/>
          <w:sz w:val="24"/>
          <w:szCs w:val="24"/>
        </w:rPr>
        <w:t xml:space="preserve">仅起后端：npm run dev:server，OpenAPI 文档位于 http://localhost:8000/docs；</w:t>
      </w:r>
    </w:p>
    <w:p>
      <w:pPr>
        <w:pStyle w:val="ListParagraph"/>
        <w:numPr>
          <w:ilvl w:val="0"/>
          <w:numId w:val="1"/>
        </w:numPr>
        <w:spacing w:after="120" w:line="360"/>
        <w:ind w:left="480"/>
      </w:pPr>
      <w:r>
        <w:rPr>
          <w:rFonts w:ascii="Times New Roman" w:cs="Times New Roman" w:eastAsia="SimSun" w:hAnsi="Times New Roman"/>
          <w:sz w:val="24"/>
          <w:szCs w:val="24"/>
        </w:rPr>
        <w:t xml:space="preserve">打包 Web：npm run build:web，产物为 apps/web/dist 静态站点；</w:t>
      </w:r>
    </w:p>
    <w:p>
      <w:pPr>
        <w:pStyle w:val="ListParagraph"/>
        <w:numPr>
          <w:ilvl w:val="0"/>
          <w:numId w:val="1"/>
        </w:numPr>
        <w:spacing w:after="120" w:line="360"/>
        <w:ind w:left="480"/>
      </w:pPr>
      <w:r>
        <w:rPr>
          <w:rFonts w:ascii="Times New Roman" w:cs="Times New Roman" w:eastAsia="SimSun" w:hAnsi="Times New Roman"/>
          <w:sz w:val="24"/>
          <w:szCs w:val="24"/>
        </w:rPr>
        <w:t xml:space="preserve">打包桌面：npm run build:desktop，产物为 apps/desktop/release 下的安装包。</w:t>
      </w:r>
    </w:p>
    <w:p>
      <w:pPr>
        <w:pStyle w:val="Heading1"/>
        <w:spacing w:after="240" w:before="360"/>
      </w:pPr>
      <w:r>
        <w:rPr>
          <w:rFonts w:ascii="Times New Roman" w:cs="Times New Roman" w:eastAsia="SimHei" w:hAnsi="Times New Roman"/>
          <w:b/>
          <w:bCs/>
          <w:color w:val="1F2A36"/>
          <w:sz w:val="32"/>
          <w:szCs w:val="32"/>
        </w:rPr>
        <w:t xml:space="preserve">第三章 登录授权与界面导览</w:t>
      </w:r>
    </w:p>
    <w:p>
      <w:pPr>
        <w:pStyle w:val="Heading2"/>
        <w:spacing w:after="160" w:before="280"/>
      </w:pPr>
      <w:r>
        <w:rPr>
          <w:rFonts w:ascii="Times New Roman" w:cs="Times New Roman" w:eastAsia="SimHei" w:hAnsi="Times New Roman"/>
          <w:b/>
          <w:bCs/>
          <w:color w:val="1F2A36"/>
          <w:sz w:val="28"/>
          <w:szCs w:val="28"/>
        </w:rPr>
        <w:t xml:space="preserve">3.1 登录与授权</w:t>
      </w:r>
    </w:p>
    <w:p>
      <w:pPr>
        <w:spacing w:after="120" w:line="360"/>
        <w:ind w:firstLine="480"/>
        <w:jc w:val="both"/>
      </w:pPr>
      <w:r>
        <w:rPr>
          <w:rFonts w:ascii="Times New Roman" w:cs="Times New Roman" w:eastAsia="SimSun" w:hAnsi="Times New Roman"/>
          <w:sz w:val="24"/>
          <w:szCs w:val="24"/>
        </w:rPr>
        <w:t xml:space="preserve">Web 端：打开页面后选择所属企业（企业列表自 JMS 读取），输入真实账号密码登录。桌面端：输入授权码激活，开发演示授权码为 APS-HOUR-DEMO、APS-DAY-DEMO、APS-WEEK-DEMO、APS-MONTH-DEMO、APS-YEAR-DEMO、APS-PERP-DEMO。</w:t>
      </w:r>
    </w:p>
    <w:p>
      <w:pPr>
        <w:pStyle w:val="Heading2"/>
        <w:spacing w:after="160" w:before="280"/>
      </w:pPr>
      <w:r>
        <w:rPr>
          <w:rFonts w:ascii="Times New Roman" w:cs="Times New Roman" w:eastAsia="SimHei" w:hAnsi="Times New Roman"/>
          <w:b/>
          <w:bCs/>
          <w:color w:val="1F2A36"/>
          <w:sz w:val="28"/>
          <w:szCs w:val="28"/>
        </w:rPr>
        <w:t xml:space="preserve">3.2 界面布局</w:t>
      </w:r>
    </w:p>
    <w:p>
      <w:pPr>
        <w:spacing w:after="120" w:line="360"/>
        <w:ind w:firstLine="480"/>
        <w:jc w:val="both"/>
      </w:pPr>
      <w:r>
        <w:rPr>
          <w:rFonts w:ascii="Times New Roman" w:cs="Times New Roman" w:eastAsia="SimSun" w:hAnsi="Times New Roman"/>
          <w:sz w:val="24"/>
          <w:szCs w:val="24"/>
        </w:rPr>
        <w:t xml:space="preserve">主界面由四区构成：顶部为中文菜单栏（按功能开关过滤）；左侧栏承载项目 / 任务与订单、主数据等快捷入口；中部为对话区与工作台；右侧为工具导轨，依次提供多智能体编排、DXF 图纸、柔性工作台、知识库、治理台等工具入口。</w:t>
      </w:r>
    </w:p>
    <w:p>
      <w:pPr>
        <w:spacing w:after="120" w:line="360"/>
        <w:ind w:firstLine="480"/>
        <w:jc w:val="both"/>
      </w:pPr>
      <w:r>
        <w:rPr>
          <w:rFonts w:ascii="Times New Roman" w:cs="Times New Roman" w:eastAsia="SimSun" w:hAnsi="Times New Roman"/>
          <w:sz w:val="24"/>
          <w:szCs w:val="24"/>
        </w:rPr>
        <w:t xml:space="preserve">对话流中内嵌方案卡、确认卡、知识引用、报告等富交互块，可直接点按操作。右侧视口包括：固定 / 柔性甘特、负荷、交期、分桶计划、利用率、对比表、KPI 仪表盘、产能池与时间线。</w:t>
      </w:r>
    </w:p>
    <w:p>
      <w:pPr>
        <w:pStyle w:val="Heading2"/>
        <w:spacing w:after="160" w:before="280"/>
      </w:pPr>
      <w:r>
        <w:rPr>
          <w:rFonts w:ascii="Times New Roman" w:cs="Times New Roman" w:eastAsia="SimHei" w:hAnsi="Times New Roman"/>
          <w:b/>
          <w:bCs/>
          <w:color w:val="1F2A36"/>
          <w:sz w:val="28"/>
          <w:szCs w:val="28"/>
        </w:rPr>
        <w:t xml:space="preserve">3.3 快捷交互</w:t>
      </w:r>
    </w:p>
    <w:p>
      <w:pPr>
        <w:spacing w:after="120" w:line="360"/>
        <w:ind w:firstLine="480"/>
        <w:jc w:val="both"/>
      </w:pPr>
      <w:r>
        <w:rPr>
          <w:rFonts w:ascii="Times New Roman" w:cs="Times New Roman" w:eastAsia="SimSun" w:hAnsi="Times New Roman"/>
          <w:sz w:val="24"/>
          <w:szCs w:val="24"/>
        </w:rPr>
        <w:t xml:space="preserve">Ctrl+K 唤起命令面板，可快速跳转任意面板与视图，条目随功能开关配置过滤；当前展开的工具被禁用时面板自动隐藏。</w:t>
      </w:r>
    </w:p>
    <w:p>
      <w:pPr>
        <w:pStyle w:val="Heading1"/>
        <w:spacing w:after="240" w:before="360"/>
      </w:pPr>
      <w:r>
        <w:rPr>
          <w:rFonts w:ascii="Times New Roman" w:cs="Times New Roman" w:eastAsia="SimHei" w:hAnsi="Times New Roman"/>
          <w:b/>
          <w:bCs/>
          <w:color w:val="1F2A36"/>
          <w:sz w:val="32"/>
          <w:szCs w:val="32"/>
        </w:rPr>
        <w:t xml:space="preserve">第四章 数据准备</w:t>
      </w:r>
    </w:p>
    <w:p>
      <w:pPr>
        <w:pStyle w:val="Heading2"/>
        <w:spacing w:after="160" w:before="280"/>
      </w:pPr>
      <w:r>
        <w:rPr>
          <w:rFonts w:ascii="Times New Roman" w:cs="Times New Roman" w:eastAsia="SimHei" w:hAnsi="Times New Roman"/>
          <w:b/>
          <w:bCs/>
          <w:color w:val="1F2A36"/>
          <w:sz w:val="28"/>
          <w:szCs w:val="28"/>
        </w:rPr>
        <w:t xml:space="preserve">4.1 工程目录导入</w:t>
      </w:r>
    </w:p>
    <w:p>
      <w:pPr>
        <w:spacing w:after="120" w:line="360"/>
        <w:ind w:firstLine="480"/>
        <w:jc w:val="both"/>
      </w:pPr>
      <w:r>
        <w:rPr>
          <w:rFonts w:ascii="Times New Roman" w:cs="Times New Roman" w:eastAsia="SimSun" w:hAnsi="Times New Roman"/>
          <w:sz w:val="24"/>
          <w:szCs w:val="24"/>
        </w:rPr>
        <w:t xml:space="preserve">于左侧栏选择“新建任务 / 新建项目”，将工程目录指向数据文件夹（内含订单、物料、BOM、工艺、设备、班历等 Excel/CSV 文件），随后在对话框输入“分析一下数据文件”。系统执行项目深度分析，输出订单、物料、工艺、设备、BOM 计数及结构化诊断，并自动导入排产世界。诊断按“有效 / 阻断（blocking）/ 跳过”三档统计，阻断项定位至具体文件与行号。</w:t>
      </w:r>
    </w:p>
    <w:p>
      <w:pPr>
        <w:pStyle w:val="Heading2"/>
        <w:spacing w:after="160" w:before="280"/>
      </w:pPr>
      <w:r>
        <w:rPr>
          <w:rFonts w:ascii="Times New Roman" w:cs="Times New Roman" w:eastAsia="SimHei" w:hAnsi="Times New Roman"/>
          <w:b/>
          <w:bCs/>
          <w:color w:val="1F2A36"/>
          <w:sz w:val="28"/>
          <w:szCs w:val="28"/>
        </w:rPr>
        <w:t xml:space="preserve">4.2 Excel/CSV 导入管线</w:t>
      </w:r>
    </w:p>
    <w:p>
      <w:pPr>
        <w:spacing w:after="120" w:line="360"/>
        <w:ind w:firstLine="480"/>
        <w:jc w:val="both"/>
      </w:pPr>
      <w:r>
        <w:rPr>
          <w:rFonts w:ascii="Times New Roman" w:cs="Times New Roman" w:eastAsia="SimSun" w:hAnsi="Times New Roman"/>
          <w:sz w:val="24"/>
          <w:szCs w:val="24"/>
        </w:rPr>
        <w:t xml:space="preserve">主数据面板与订单面板均设“导入”入口。导入遵循“表头映射 → 预览校验 → P2 确认落库”三段式管线，支持订单、物料、BOM、工艺路线、设备、模具、工序、区域八类对象。</w:t>
      </w:r>
    </w:p>
    <w:p>
      <w:pPr>
        <w:pStyle w:val="Heading2"/>
        <w:spacing w:after="160" w:before="280"/>
      </w:pPr>
      <w:r>
        <w:rPr>
          <w:rFonts w:ascii="Times New Roman" w:cs="Times New Roman" w:eastAsia="SimHei" w:hAnsi="Times New Roman"/>
          <w:b/>
          <w:bCs/>
          <w:color w:val="1F2A36"/>
          <w:sz w:val="28"/>
          <w:szCs w:val="28"/>
        </w:rPr>
        <w:t xml:space="preserve">4.3 DXF 工程图纸识别</w:t>
      </w:r>
    </w:p>
    <w:p>
      <w:pPr>
        <w:spacing w:after="120" w:line="360"/>
        <w:ind w:firstLine="480"/>
        <w:jc w:val="both"/>
      </w:pPr>
      <w:r>
        <w:rPr>
          <w:rFonts w:ascii="Times New Roman" w:cs="Times New Roman" w:eastAsia="SimSun" w:hAnsi="Times New Roman"/>
          <w:sz w:val="24"/>
          <w:szCs w:val="24"/>
        </w:rPr>
        <w:t xml:space="preserve">右侧导轨“图纸”入口支持上传 DXF、填写本地路径或扫描工程目录。系统自动解析标题栏（图号、名称、比例、版本，逐字段标注置信度与来源），生成支持缩放、平移与图层开关的 SVG 预览；物料候选经人工核对后生成 P2 确认卡，批准后方写入主数据。</w:t>
      </w:r>
    </w:p>
    <w:p>
      <w:pPr>
        <w:spacing w:after="120" w:line="360"/>
        <w:ind w:firstLine="480"/>
      </w:pPr>
      <w:r>
        <w:rPr>
          <w:rFonts w:ascii="Times New Roman" w:cs="Times New Roman" w:eastAsia="SimSun" w:hAnsi="Times New Roman"/>
          <w:i/>
          <w:iCs/>
          <w:color w:val="6B7A86"/>
          <w:sz w:val="21"/>
          <w:szCs w:val="21"/>
        </w:rPr>
        <w:t xml:space="preserve">图纸未承载的字段（材质、工时、外协属性、BOM 子件数量等）一律显式标记 missing，绝不编造，必须经人工确认。</w:t>
      </w:r>
    </w:p>
    <w:p>
      <w:pPr>
        <w:pStyle w:val="Heading2"/>
        <w:spacing w:after="160" w:before="280"/>
      </w:pPr>
      <w:r>
        <w:rPr>
          <w:rFonts w:ascii="Times New Roman" w:cs="Times New Roman" w:eastAsia="SimHei" w:hAnsi="Times New Roman"/>
          <w:b/>
          <w:bCs/>
          <w:color w:val="1F2A36"/>
          <w:sz w:val="28"/>
          <w:szCs w:val="28"/>
        </w:rPr>
        <w:t xml:space="preserve">4.4 演示数据装载</w:t>
      </w:r>
    </w:p>
    <w:p>
      <w:pPr>
        <w:spacing w:after="120" w:line="360"/>
        <w:ind w:firstLine="480"/>
        <w:jc w:val="both"/>
      </w:pPr>
      <w:r>
        <w:rPr>
          <w:rFonts w:ascii="Times New Roman" w:cs="Times New Roman" w:eastAsia="SimSun" w:hAnsi="Times New Roman"/>
          <w:sz w:val="24"/>
          <w:szCs w:val="24"/>
        </w:rPr>
        <w:t xml:space="preserve">柔性排产演示可装载康尼真实单数据，在仓库根目录执行下列脚本，或以口令“导入完整生产路线”替换演示数据：</w:t>
      </w:r>
    </w:p>
    <w:p>
      <w:pPr>
        <w:shd w:fill="F2F5F7" w:val="clear"/>
        <w:spacing w:after="40" w:line="280"/>
        <w:ind w:left="480"/>
      </w:pPr>
      <w:r>
        <w:rPr>
          <w:rFonts w:ascii="Consolas" w:cs="Consolas" w:eastAsia="SimSun" w:hAnsi="Consolas"/>
          <w:sz w:val="20"/>
          <w:szCs w:val="20"/>
        </w:rPr>
        <w:t xml:space="preserve">.venv\\Scripts\\python.exe scripts\\load_kangni.py</w:t>
      </w:r>
    </w:p>
    <w:p>
      <w:pPr>
        <w:spacing w:after="120" w:line="360"/>
        <w:ind w:firstLine="480"/>
        <w:jc w:val="both"/>
      </w:pPr>
      <w:r>
        <w:rPr>
          <w:rFonts w:ascii="Times New Roman" w:cs="Times New Roman" w:eastAsia="SimSun" w:hAnsi="Times New Roman"/>
          <w:sz w:val="24"/>
          <w:szCs w:val="24"/>
        </w:rPr>
        <w:t xml:space="preserve">另提供纯内存、确定性结果的一键全流程模拟脚本（无需启动服务），适用于演示与验收：</w:t>
      </w:r>
    </w:p>
    <w:p>
      <w:pPr>
        <w:shd w:fill="F2F5F7" w:val="clear"/>
        <w:spacing w:after="40" w:line="280"/>
        <w:ind w:left="480"/>
      </w:pPr>
      <w:r>
        <w:rPr>
          <w:rFonts w:ascii="Consolas" w:cs="Consolas" w:eastAsia="SimSun" w:hAnsi="Consolas"/>
          <w:sz w:val="20"/>
          <w:szCs w:val="20"/>
        </w:rPr>
        <w:t xml:space="preserve">.venv\\Scripts\\python.exe scripts\\flex_simulation.py</w:t>
      </w:r>
    </w:p>
    <w:p>
      <w:pPr>
        <w:pStyle w:val="Heading2"/>
        <w:spacing w:after="160" w:before="280"/>
      </w:pPr>
      <w:r>
        <w:rPr>
          <w:rFonts w:ascii="Times New Roman" w:cs="Times New Roman" w:eastAsia="SimHei" w:hAnsi="Times New Roman"/>
          <w:b/>
          <w:bCs/>
          <w:color w:val="1F2A36"/>
          <w:sz w:val="28"/>
          <w:szCs w:val="28"/>
        </w:rPr>
        <w:t xml:space="preserve">4.5 主数据录入顺序</w:t>
      </w:r>
    </w:p>
    <w:p>
      <w:pPr>
        <w:spacing w:after="120" w:line="360"/>
        <w:ind w:firstLine="480"/>
        <w:jc w:val="both"/>
      </w:pPr>
      <w:r>
        <w:rPr>
          <w:rFonts w:ascii="Times New Roman" w:cs="Times New Roman" w:eastAsia="SimSun" w:hAnsi="Times New Roman"/>
          <w:sz w:val="24"/>
          <w:szCs w:val="24"/>
        </w:rPr>
        <w:t xml:space="preserve">主数据之间存在严格依赖关系，录入必须遵循如下顺序：先工厂 / 产线，再物料，再 BOM，再工序，再工艺路线，再产线-产品绑定，最后录入订单。任一环节缺失，后续排产必然失败或结果“找不到依据”。</w:t>
      </w:r>
    </w:p>
    <w:p>
      <w:pPr>
        <w:pStyle w:val="Heading1"/>
        <w:spacing w:after="240" w:before="360"/>
      </w:pPr>
      <w:r>
        <w:rPr>
          <w:rFonts w:ascii="Times New Roman" w:cs="Times New Roman" w:eastAsia="SimHei" w:hAnsi="Times New Roman"/>
          <w:b/>
          <w:bCs/>
          <w:color w:val="1F2A36"/>
          <w:sz w:val="32"/>
          <w:szCs w:val="32"/>
        </w:rPr>
        <w:t xml:space="preserve">第五章 主数据维护</w:t>
      </w:r>
    </w:p>
    <w:p>
      <w:pPr>
        <w:spacing w:after="120" w:line="360"/>
        <w:ind w:firstLine="480"/>
        <w:jc w:val="both"/>
      </w:pPr>
      <w:r>
        <w:rPr>
          <w:rFonts w:ascii="Times New Roman" w:cs="Times New Roman" w:eastAsia="SimSun" w:hAnsi="Times New Roman"/>
          <w:sz w:val="24"/>
          <w:szCs w:val="24"/>
        </w:rPr>
        <w:t xml:space="preserve">侧栏“主数据”面板按页签组织，全部编辑动作生成 P2 确认卡，经批准后执行；执行前自动建立检查点并写入审计链。主数据修改仅影响其后生成的新排产版本，历史版本不回写。</w:t>
      </w:r>
    </w:p>
    <w:p>
      <w:pPr>
        <w:spacing w:after="80" w:before="120"/>
        <w:jc w:val="center"/>
      </w:pPr>
      <w:r>
        <w:rPr>
          <w:rFonts w:ascii="Times New Roman" w:cs="Times New Roman" w:eastAsia="SimHei" w:hAnsi="Times New Roman"/>
          <w:b/>
          <w:bCs/>
          <w:color w:val="2F4858"/>
          <w:sz w:val="21"/>
          <w:szCs w:val="21"/>
        </w:rPr>
        <w:t xml:space="preserve">表 5-1 主数据页签与能力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5700"/>
        <w:gridCol w:w="2000"/>
      </w:tblGrid>
      <w:tr>
        <w:trPr>
          <w:tblHeader/>
        </w:trPr>
        <w:tc>
          <w:tcPr>
            <w:tcW w:type="dxa" w:w="1500"/>
            <w:tcBorders>
              <w:top w:val="single" w:color="1F2A36" w:sz="12"/>
              <w:left w:val="none" w:color="FFFFFF" w:sz="0"/>
              <w:bottom w:val="single" w:color="1F2A36" w:sz="6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Hei" w:hAnsi="Times New Roman"/>
                <w:b/>
                <w:bCs/>
                <w:sz w:val="21"/>
                <w:szCs w:val="21"/>
              </w:rPr>
              <w:t xml:space="preserve">页签</w:t>
            </w:r>
          </w:p>
        </w:tc>
        <w:tc>
          <w:tcPr>
            <w:tcW w:type="dxa" w:w="5700"/>
            <w:tcBorders>
              <w:top w:val="single" w:color="1F2A36" w:sz="12"/>
              <w:left w:val="none" w:color="FFFFFF" w:sz="0"/>
              <w:bottom w:val="single" w:color="1F2A36" w:sz="6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Hei" w:hAnsi="Times New Roman"/>
                <w:b/>
                <w:bCs/>
                <w:sz w:val="21"/>
                <w:szCs w:val="21"/>
              </w:rPr>
              <w:t xml:space="preserve">维护内容</w:t>
            </w:r>
          </w:p>
        </w:tc>
        <w:tc>
          <w:tcPr>
            <w:tcW w:type="dxa" w:w="2000"/>
            <w:tcBorders>
              <w:top w:val="single" w:color="1F2A36" w:sz="12"/>
              <w:left w:val="none" w:color="FFFFFF" w:sz="0"/>
              <w:bottom w:val="single" w:color="1F2A36" w:sz="6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Hei" w:hAnsi="Times New Roman"/>
                <w:b/>
                <w:bCs/>
                <w:sz w:val="21"/>
                <w:szCs w:val="21"/>
              </w:rPr>
              <w:t xml:space="preserve">权力等级</w:t>
            </w:r>
          </w:p>
        </w:tc>
      </w:tr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资源</w:t>
            </w:r>
          </w:p>
        </w:tc>
        <w:tc>
          <w:tcPr>
            <w:tcW w:type="dxa" w:w="5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工厂→车间→产线→工位→设备资源树；产线编辑 / 停启用（停用产线不进入新排产）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编辑 P2</w:t>
            </w:r>
          </w:p>
        </w:tc>
      </w:tr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物料与 BOM</w:t>
            </w:r>
          </w:p>
        </w:tc>
        <w:tc>
          <w:tcPr>
            <w:tcW w:type="dxa" w:w="5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库存 / 在途 / 安全库存 / 前置期；BOM 明细用量与关键料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P2</w:t>
            </w:r>
          </w:p>
        </w:tc>
      </w:tr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日历与维保</w:t>
            </w:r>
          </w:p>
        </w:tc>
        <w:tc>
          <w:tcPr>
            <w:tcW w:type="dxa" w:w="5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班次 / 日历只读；维保窗口新增 / 取消，联动设备避让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P2</w:t>
            </w:r>
          </w:p>
        </w:tc>
      </w:tr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工艺</w:t>
            </w:r>
          </w:p>
        </w:tc>
        <w:tc>
          <w:tcPr>
            <w:tcW w:type="dxa" w:w="5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工艺步骤工时、外协标记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P2</w:t>
            </w:r>
          </w:p>
        </w:tc>
      </w:tr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换型</w:t>
            </w:r>
          </w:p>
        </w:tc>
        <w:tc>
          <w:tcPr>
            <w:tcW w:type="dxa" w:w="5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产品族×产品族换型时间矩阵（口令“查看换型矩阵”）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P2</w:t>
            </w:r>
          </w:p>
        </w:tc>
      </w:tr>
      <w:tr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1F2A36" w:sz="12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柔性资源</w:t>
            </w:r>
          </w:p>
        </w:tc>
        <w:tc>
          <w:tcPr>
            <w:tcW w:type="dxa" w:w="5700"/>
            <w:tcBorders>
              <w:top w:val="none" w:color="FFFFFF" w:sz="0"/>
              <w:left w:val="none" w:color="FFFFFF" w:sz="0"/>
              <w:bottom w:val="single" w:color="1F2A36" w:sz="12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设备虚拟档案（能力集合、可移动性、移动耗时、当前位置、工装适配）与能力池摘要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1F2A36" w:sz="12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只读 + Excel 导入</w:t>
            </w:r>
          </w:p>
        </w:tc>
      </w:tr>
    </w:tbl>
    <w:p>
      <w:pPr>
        <w:spacing w:after="120" w:line="360"/>
      </w:pPr>
      <w:r>
        <w:rPr>
          <w:rFonts w:ascii="Times New Roman" w:cs="Times New Roman" w:eastAsia="SimSun" w:hAnsi="Times New Roman"/>
          <w:sz w:val="24"/>
          <w:szCs w:val="24"/>
        </w:rPr>
        <w:t xml:space="preserve"/>
      </w:r>
    </w:p>
    <w:p>
      <w:pPr>
        <w:pStyle w:val="Heading1"/>
        <w:spacing w:after="240" w:before="360"/>
      </w:pPr>
      <w:r>
        <w:rPr>
          <w:rFonts w:ascii="Times New Roman" w:cs="Times New Roman" w:eastAsia="SimHei" w:hAnsi="Times New Roman"/>
          <w:b/>
          <w:bCs/>
          <w:color w:val="1F2A36"/>
          <w:sz w:val="32"/>
          <w:szCs w:val="32"/>
        </w:rPr>
        <w:t xml:space="preserve">第六章 订单管理</w:t>
      </w:r>
    </w:p>
    <w:p>
      <w:pPr>
        <w:pStyle w:val="Heading2"/>
        <w:spacing w:after="160" w:before="280"/>
      </w:pPr>
      <w:r>
        <w:rPr>
          <w:rFonts w:ascii="Times New Roman" w:cs="Times New Roman" w:eastAsia="SimHei" w:hAnsi="Times New Roman"/>
          <w:b/>
          <w:bCs/>
          <w:color w:val="1F2A36"/>
          <w:sz w:val="28"/>
          <w:szCs w:val="28"/>
        </w:rPr>
        <w:t xml:space="preserve">6.1 销售订单</w:t>
      </w:r>
    </w:p>
    <w:p>
      <w:pPr>
        <w:spacing w:after="120" w:line="360"/>
        <w:ind w:firstLine="480"/>
        <w:jc w:val="both"/>
      </w:pPr>
      <w:r>
        <w:rPr>
          <w:rFonts w:ascii="Times New Roman" w:cs="Times New Roman" w:eastAsia="SimSun" w:hAnsi="Times New Roman"/>
          <w:sz w:val="24"/>
          <w:szCs w:val="24"/>
        </w:rPr>
        <w:t xml:space="preserve">左侧栏“订单”面板提供订单列表与明细维护，新增、编辑、取消、完成均走 P2 确认卡。状态为 CANCELLED 或 COMPLETED 的订单不进入新的排产版本；仅 APPROVED 状态订单参与排产。</w:t>
      </w:r>
    </w:p>
    <w:p>
      <w:pPr>
        <w:pStyle w:val="Heading2"/>
        <w:spacing w:after="160" w:before="280"/>
      </w:pPr>
      <w:r>
        <w:rPr>
          <w:rFonts w:ascii="Times New Roman" w:cs="Times New Roman" w:eastAsia="SimHei" w:hAnsi="Times New Roman"/>
          <w:b/>
          <w:bCs/>
          <w:color w:val="1F2A36"/>
          <w:sz w:val="28"/>
          <w:szCs w:val="28"/>
        </w:rPr>
        <w:t xml:space="preserve">6.2 订单池与审核</w:t>
      </w:r>
    </w:p>
    <w:p>
      <w:pPr>
        <w:spacing w:after="120" w:line="360"/>
        <w:ind w:firstLine="480"/>
        <w:jc w:val="both"/>
      </w:pPr>
      <w:r>
        <w:rPr>
          <w:rFonts w:ascii="Times New Roman" w:cs="Times New Roman" w:eastAsia="SimSun" w:hAnsi="Times New Roman"/>
          <w:sz w:val="24"/>
          <w:szCs w:val="24"/>
        </w:rPr>
        <w:t xml:space="preserve">订单池以泳道看板组织，支持提交、批准、驳回与批量批准。对应口令：“订单池”“提交审核”“批量批准”。</w:t>
      </w:r>
    </w:p>
    <w:p>
      <w:pPr>
        <w:pStyle w:val="Heading2"/>
        <w:spacing w:after="160" w:before="280"/>
      </w:pPr>
      <w:r>
        <w:rPr>
          <w:rFonts w:ascii="Times New Roman" w:cs="Times New Roman" w:eastAsia="SimHei" w:hAnsi="Times New Roman"/>
          <w:b/>
          <w:bCs/>
          <w:color w:val="1F2A36"/>
          <w:sz w:val="28"/>
          <w:szCs w:val="28"/>
        </w:rPr>
        <w:t xml:space="preserve">6.3 预测订单</w:t>
      </w:r>
    </w:p>
    <w:p>
      <w:pPr>
        <w:spacing w:after="120" w:line="360"/>
        <w:ind w:firstLine="480"/>
        <w:jc w:val="both"/>
      </w:pPr>
      <w:r>
        <w:rPr>
          <w:rFonts w:ascii="Times New Roman" w:cs="Times New Roman" w:eastAsia="SimSun" w:hAnsi="Times New Roman"/>
          <w:sz w:val="24"/>
          <w:szCs w:val="24"/>
        </w:rPr>
        <w:t xml:space="preserve">预测订单台账默认不进入正式排产；可通过“预测纳入试排”执行 what-if 分析，确认后以“预测转正”转为正式 APPROVED 销售订单。相关口令：“查看预测”“新建预测”“预测纳入试排”“预测转正”。</w:t>
      </w:r>
    </w:p>
    <w:p>
      <w:pPr>
        <w:pStyle w:val="Heading2"/>
        <w:spacing w:after="160" w:before="280"/>
      </w:pPr>
      <w:r>
        <w:rPr>
          <w:rFonts w:ascii="Times New Roman" w:cs="Times New Roman" w:eastAsia="SimHei" w:hAnsi="Times New Roman"/>
          <w:b/>
          <w:bCs/>
          <w:color w:val="1F2A36"/>
          <w:sz w:val="28"/>
          <w:szCs w:val="28"/>
        </w:rPr>
        <w:t xml:space="preserve">6.4 紧急插单</w:t>
      </w:r>
    </w:p>
    <w:p>
      <w:pPr>
        <w:spacing w:after="120" w:line="360"/>
        <w:ind w:firstLine="480"/>
        <w:jc w:val="both"/>
      </w:pPr>
      <w:r>
        <w:rPr>
          <w:rFonts w:ascii="Times New Roman" w:cs="Times New Roman" w:eastAsia="SimSun" w:hAnsi="Times New Roman"/>
          <w:sz w:val="24"/>
          <w:szCs w:val="24"/>
        </w:rPr>
        <w:t xml:space="preserve">订单面板设插单向导，亦可使用口令“插单快评”查看影响评估，再以“采用插单”应用。固定轨执行 rush.evaluate / rush.apply 流程，柔性轨走 flex.rush；当局部修复扰动超阈值时自动升级为全量重排并出具 P2 确认卡。</w:t>
      </w:r>
    </w:p>
    <w:p>
      <w:pPr>
        <w:pStyle w:val="Heading2"/>
        <w:spacing w:after="160" w:before="280"/>
      </w:pPr>
      <w:r>
        <w:rPr>
          <w:rFonts w:ascii="Times New Roman" w:cs="Times New Roman" w:eastAsia="SimHei" w:hAnsi="Times New Roman"/>
          <w:b/>
          <w:bCs/>
          <w:color w:val="1F2A36"/>
          <w:sz w:val="28"/>
          <w:szCs w:val="28"/>
        </w:rPr>
        <w:t xml:space="preserve">6.5 订单追溯</w:t>
      </w:r>
    </w:p>
    <w:p>
      <w:pPr>
        <w:spacing w:after="120" w:line="360"/>
        <w:ind w:firstLine="480"/>
        <w:jc w:val="both"/>
      </w:pPr>
      <w:r>
        <w:rPr>
          <w:rFonts w:ascii="Times New Roman" w:cs="Times New Roman" w:eastAsia="SimSun" w:hAnsi="Times New Roman"/>
          <w:sz w:val="24"/>
          <w:szCs w:val="24"/>
        </w:rPr>
        <w:t xml:space="preserve">任一订单支持一键追溯完整单据链：订单本体（客户、交期、产品、数量、状态）→ 主数据依据（BOM、工艺路线、库存）→ MRP 分解结果 → 排产版本与工单 → 缺失项（无 BOM / 无路线 / 未绑定产线 / 库存不足）。柔性轨道另沿 FO→BOM→虚拟产线→工单→设备负荷链路追溯。</w:t>
      </w:r>
    </w:p>
    <w:p>
      <w:pPr>
        <w:pStyle w:val="Heading1"/>
        <w:spacing w:after="240" w:before="360"/>
      </w:pPr>
      <w:r>
        <w:rPr>
          <w:rFonts w:ascii="Times New Roman" w:cs="Times New Roman" w:eastAsia="SimHei" w:hAnsi="Times New Roman"/>
          <w:b/>
          <w:bCs/>
          <w:color w:val="1F2A36"/>
          <w:sz w:val="32"/>
          <w:szCs w:val="32"/>
        </w:rPr>
        <w:t xml:space="preserve">第七章 物料需求分解（MRP）</w:t>
      </w:r>
    </w:p>
    <w:p>
      <w:pPr>
        <w:spacing w:after="120" w:line="360"/>
        <w:ind w:firstLine="480"/>
        <w:jc w:val="both"/>
      </w:pPr>
      <w:r>
        <w:rPr>
          <w:rFonts w:ascii="Times New Roman" w:cs="Times New Roman" w:eastAsia="SimSun" w:hAnsi="Times New Roman"/>
          <w:sz w:val="24"/>
          <w:szCs w:val="24"/>
        </w:rPr>
        <w:t xml:space="preserve">入口为订单面板“分解建议”“分解此单”，或对话口令“分解订单 SO-001”“执行MRP分解”“生成采购建议”。分解逻辑全部源自主数据，修改主数据即改变分解结果。</w:t>
      </w:r>
    </w:p>
    <w:p>
      <w:pPr>
        <w:spacing w:after="80" w:before="120"/>
        <w:jc w:val="center"/>
      </w:pPr>
      <w:r>
        <w:rPr>
          <w:rFonts w:ascii="Times New Roman" w:cs="Times New Roman" w:eastAsia="SimHei" w:hAnsi="Times New Roman"/>
          <w:b/>
          <w:bCs/>
          <w:color w:val="2F4858"/>
          <w:sz w:val="21"/>
          <w:szCs w:val="21"/>
        </w:rPr>
        <w:t xml:space="preserve">表 7-1 MRP 分解三分支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3800"/>
        <w:gridCol w:w="4200"/>
      </w:tblGrid>
      <w:tr>
        <w:trPr>
          <w:tblHeader/>
        </w:trPr>
        <w:tc>
          <w:tcPr>
            <w:tcW w:type="dxa" w:w="1200"/>
            <w:tcBorders>
              <w:top w:val="single" w:color="1F2A36" w:sz="12"/>
              <w:left w:val="none" w:color="FFFFFF" w:sz="0"/>
              <w:bottom w:val="single" w:color="1F2A36" w:sz="6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Hei" w:hAnsi="Times New Roman"/>
                <w:b/>
                <w:bCs/>
                <w:sz w:val="21"/>
                <w:szCs w:val="21"/>
              </w:rPr>
              <w:t xml:space="preserve">分支</w:t>
            </w:r>
          </w:p>
        </w:tc>
        <w:tc>
          <w:tcPr>
            <w:tcW w:type="dxa" w:w="3800"/>
            <w:tcBorders>
              <w:top w:val="single" w:color="1F2A36" w:sz="12"/>
              <w:left w:val="none" w:color="FFFFFF" w:sz="0"/>
              <w:bottom w:val="single" w:color="1F2A36" w:sz="6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Hei" w:hAnsi="Times New Roman"/>
                <w:b/>
                <w:bCs/>
                <w:sz w:val="21"/>
                <w:szCs w:val="21"/>
              </w:rPr>
              <w:t xml:space="preserve">依据</w:t>
            </w:r>
          </w:p>
        </w:tc>
        <w:tc>
          <w:tcPr>
            <w:tcW w:type="dxa" w:w="4200"/>
            <w:tcBorders>
              <w:top w:val="single" w:color="1F2A36" w:sz="12"/>
              <w:left w:val="none" w:color="FFFFFF" w:sz="0"/>
              <w:bottom w:val="single" w:color="1F2A36" w:sz="6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Hei" w:hAnsi="Times New Roman"/>
                <w:b/>
                <w:bCs/>
                <w:sz w:val="21"/>
                <w:szCs w:val="21"/>
              </w:rPr>
              <w:t xml:space="preserve">产出</w:t>
            </w:r>
          </w:p>
        </w:tc>
      </w:tr>
      <w:tr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自制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订单明细成品 + 工艺路线</w:t>
            </w:r>
          </w:p>
        </w:tc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自制建议，交由排产引擎生成生产订单与工单</w:t>
            </w:r>
          </w:p>
        </w:tc>
      </w:tr>
      <w:tr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采购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BOM 净需求 = 毛需求 − 库存 − 在途 − 已下达供应</w:t>
            </w:r>
          </w:p>
        </w:tc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采购建议 DRAFT：数量与建议下单日（按前置期倒排）</w:t>
            </w:r>
          </w:p>
        </w:tc>
      </w:tr>
      <w:tr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1F2A36" w:sz="12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委外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single" w:color="1F2A36" w:sz="12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工艺步骤外协标记</w:t>
            </w:r>
          </w:p>
        </w:tc>
        <w:tc>
          <w:tcPr>
            <w:tcW w:type="dxa" w:w="4200"/>
            <w:tcBorders>
              <w:top w:val="none" w:color="FFFFFF" w:sz="0"/>
              <w:left w:val="none" w:color="FFFFFF" w:sz="0"/>
              <w:bottom w:val="single" w:color="1F2A36" w:sz="12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委外建议 DRAFT：产品、工序、数量、需求日</w:t>
            </w:r>
          </w:p>
        </w:tc>
      </w:tr>
    </w:tbl>
    <w:p>
      <w:pPr>
        <w:spacing w:after="120" w:line="360"/>
      </w:pPr>
      <w:r>
        <w:rPr>
          <w:rFonts w:ascii="Times New Roman" w:cs="Times New Roman" w:eastAsia="SimSun" w:hAnsi="Times New Roman"/>
          <w:sz w:val="24"/>
          <w:szCs w:val="24"/>
        </w:rPr>
        <w:t xml:space="preserve"/>
      </w:r>
    </w:p>
    <w:p>
      <w:pPr>
        <w:pStyle w:val="ListParagraph"/>
        <w:numPr>
          <w:ilvl w:val="0"/>
          <w:numId w:val="1"/>
        </w:numPr>
        <w:spacing w:after="120" w:line="360"/>
        <w:ind w:left="480"/>
      </w:pPr>
      <w:r>
        <w:rPr>
          <w:rFonts w:ascii="Times New Roman" w:cs="Times New Roman" w:eastAsia="SimSun" w:hAnsi="Times New Roman"/>
          <w:sz w:val="24"/>
          <w:szCs w:val="24"/>
        </w:rPr>
        <w:t xml:space="preserve">分解为 P1 级动作：仅写建议草稿，幂等替换，可重复执行；</w:t>
      </w:r>
    </w:p>
    <w:p>
      <w:pPr>
        <w:pStyle w:val="ListParagraph"/>
        <w:numPr>
          <w:ilvl w:val="0"/>
          <w:numId w:val="1"/>
        </w:numPr>
        <w:spacing w:after="120" w:line="360"/>
        <w:ind w:left="480"/>
      </w:pPr>
      <w:r>
        <w:rPr>
          <w:rFonts w:ascii="Times New Roman" w:cs="Times New Roman" w:eastAsia="SimSun" w:hAnsi="Times New Roman"/>
          <w:sz w:val="24"/>
          <w:szCs w:val="24"/>
        </w:rPr>
        <w:t xml:space="preserve">下达经口令“下达MRP建议单”触发 P2 确认卡，批准后 DRAFT 转 RELEASED，并自动补全预计到料日，供齐套检查引用；</w:t>
      </w:r>
    </w:p>
    <w:p>
      <w:pPr>
        <w:pStyle w:val="ListParagraph"/>
        <w:numPr>
          <w:ilvl w:val="0"/>
          <w:numId w:val="1"/>
        </w:numPr>
        <w:spacing w:after="120" w:line="360"/>
        <w:ind w:left="480"/>
      </w:pPr>
      <w:r>
        <w:rPr>
          <w:rFonts w:ascii="Times New Roman" w:cs="Times New Roman" w:eastAsia="SimSun" w:hAnsi="Times New Roman"/>
          <w:sz w:val="24"/>
          <w:szCs w:val="24"/>
        </w:rPr>
        <w:t xml:space="preserve">多层 BOM 完整展开：半成品缺少工艺路线时不伪装为采购建议，缺工艺条目予以明示。</w:t>
      </w:r>
    </w:p>
    <w:p>
      <w:pPr>
        <w:pStyle w:val="Heading1"/>
        <w:spacing w:after="240" w:before="360"/>
      </w:pPr>
      <w:r>
        <w:rPr>
          <w:rFonts w:ascii="Times New Roman" w:cs="Times New Roman" w:eastAsia="SimHei" w:hAnsi="Times New Roman"/>
          <w:b/>
          <w:bCs/>
          <w:color w:val="1F2A36"/>
          <w:sz w:val="32"/>
          <w:szCs w:val="32"/>
        </w:rPr>
        <w:t xml:space="preserve">第八章 排产操作</w:t>
      </w:r>
    </w:p>
    <w:p>
      <w:pPr>
        <w:pStyle w:val="Heading2"/>
        <w:spacing w:after="160" w:before="280"/>
      </w:pPr>
      <w:r>
        <w:rPr>
          <w:rFonts w:ascii="Times New Roman" w:cs="Times New Roman" w:eastAsia="SimHei" w:hAnsi="Times New Roman"/>
          <w:b/>
          <w:bCs/>
          <w:color w:val="1F2A36"/>
          <w:sz w:val="28"/>
          <w:szCs w:val="28"/>
        </w:rPr>
        <w:t xml:space="preserve">8.1 固定轨试排</w:t>
      </w:r>
    </w:p>
    <w:p>
      <w:pPr>
        <w:spacing w:after="120" w:line="360"/>
        <w:ind w:firstLine="480"/>
        <w:jc w:val="both"/>
      </w:pPr>
      <w:r>
        <w:rPr>
          <w:rFonts w:ascii="Times New Roman" w:cs="Times New Roman" w:eastAsia="SimSun" w:hAnsi="Times New Roman"/>
          <w:sz w:val="24"/>
          <w:szCs w:val="24"/>
        </w:rPr>
        <w:t xml:space="preserve">口令示例：“试排一版交期优先”“按产能均衡排一下”“换型最小化试排”“战役合并试排”。试排产出 DRAFT 版本与冲突清单，右侧甘特 / 负荷 / 交期视图即时刷新。</w:t>
      </w:r>
    </w:p>
    <w:p>
      <w:pPr>
        <w:pStyle w:val="ListParagraph"/>
        <w:numPr>
          <w:ilvl w:val="0"/>
          <w:numId w:val="1"/>
        </w:numPr>
        <w:spacing w:after="120" w:line="360"/>
        <w:ind w:left="480"/>
      </w:pPr>
      <w:r>
        <w:rPr>
          <w:rFonts w:ascii="Times New Roman" w:cs="Times New Roman" w:eastAsia="SimSun" w:hAnsi="Times New Roman"/>
          <w:sz w:val="24"/>
          <w:szCs w:val="24"/>
        </w:rPr>
        <w:t xml:space="preserve">策略模板：DELIVERY_FIRST（交期优先）、FIFO、CAPACITY_BALANCE（产能均衡）、CHANGEOVER_MIN（换型最小化）、COST_FIRST、COMPREHENSIVE、CAMPAIGN（批次合并）；</w:t>
      </w:r>
    </w:p>
    <w:p>
      <w:pPr>
        <w:pStyle w:val="ListParagraph"/>
        <w:numPr>
          <w:ilvl w:val="0"/>
          <w:numId w:val="1"/>
        </w:numPr>
        <w:spacing w:after="120" w:line="360"/>
        <w:ind w:left="480"/>
      </w:pPr>
      <w:r>
        <w:rPr>
          <w:rFonts w:ascii="Times New Roman" w:cs="Times New Roman" w:eastAsia="SimSun" w:hAnsi="Times New Roman"/>
          <w:sz w:val="24"/>
          <w:szCs w:val="24"/>
        </w:rPr>
        <w:t xml:space="preserve">求解引擎：RULE、CP-SAT（工序级 + Cumulative 聚合容量）、GA、NSGA-II（三目标 Pareto）、HYBRID；</w:t>
      </w:r>
    </w:p>
    <w:p>
      <w:pPr>
        <w:pStyle w:val="ListParagraph"/>
        <w:numPr>
          <w:ilvl w:val="0"/>
          <w:numId w:val="1"/>
        </w:numPr>
        <w:spacing w:after="120" w:line="360"/>
        <w:ind w:left="480"/>
      </w:pPr>
      <w:r>
        <w:rPr>
          <w:rFonts w:ascii="Times New Roman" w:cs="Times New Roman" w:eastAsia="SimSun" w:hAnsi="Times New Roman"/>
          <w:sz w:val="24"/>
          <w:szCs w:val="24"/>
        </w:rPr>
        <w:t xml:space="preserve">滚动时域：realtime60m（1 分钟粒度）、short2h、mid2d、long7d 多级窗口。</w:t>
      </w:r>
    </w:p>
    <w:p>
      <w:pPr>
        <w:pStyle w:val="Heading2"/>
        <w:spacing w:after="160" w:before="280"/>
      </w:pPr>
      <w:r>
        <w:rPr>
          <w:rFonts w:ascii="Times New Roman" w:cs="Times New Roman" w:eastAsia="SimHei" w:hAnsi="Times New Roman"/>
          <w:b/>
          <w:bCs/>
          <w:color w:val="1F2A36"/>
          <w:sz w:val="28"/>
          <w:szCs w:val="28"/>
        </w:rPr>
        <w:t xml:space="preserve">8.2 柔性轨排产</w:t>
      </w:r>
    </w:p>
    <w:p>
      <w:pPr>
        <w:spacing w:after="120" w:line="360"/>
        <w:ind w:firstLine="480"/>
        <w:jc w:val="both"/>
      </w:pPr>
      <w:r>
        <w:rPr>
          <w:rFonts w:ascii="Times New Roman" w:cs="Times New Roman" w:eastAsia="SimSun" w:hAnsi="Times New Roman"/>
          <w:sz w:val="24"/>
          <w:szCs w:val="24"/>
        </w:rPr>
        <w:t xml:space="preserve">口令“跑一版柔性排产”或经右侧“柔性工作台”操作。系统按订单工艺路线逐工序自能力池动态取用设备，临时拼装虚拟产线（计入模具换型与设备移动耗时），用完即散、设备归还池中。柔性甘特支持“虚拟线预演”，并提供正排 / 倒排 / 瓶颈锚三模式对比。</w:t>
      </w:r>
    </w:p>
    <w:p>
      <w:pPr>
        <w:spacing w:after="80" w:before="120"/>
        <w:jc w:val="center"/>
      </w:pPr>
      <w:r>
        <w:rPr>
          <w:rFonts w:ascii="Times New Roman" w:cs="Times New Roman" w:eastAsia="SimHei" w:hAnsi="Times New Roman"/>
          <w:b/>
          <w:bCs/>
          <w:color w:val="2F4858"/>
          <w:sz w:val="21"/>
          <w:szCs w:val="21"/>
        </w:rPr>
        <w:t xml:space="preserve">表 8-1 柔性排产接口参数（POST /api/flex/schedule）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3200"/>
        <w:gridCol w:w="4200"/>
      </w:tblGrid>
      <w:tr>
        <w:trPr>
          <w:tblHeader/>
        </w:trPr>
        <w:tc>
          <w:tcPr>
            <w:tcW w:type="dxa" w:w="1800"/>
            <w:tcBorders>
              <w:top w:val="single" w:color="1F2A36" w:sz="12"/>
              <w:left w:val="none" w:color="FFFFFF" w:sz="0"/>
              <w:bottom w:val="single" w:color="1F2A36" w:sz="6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Hei" w:hAnsi="Times New Roman"/>
                <w:b/>
                <w:bCs/>
                <w:sz w:val="21"/>
                <w:szCs w:val="21"/>
              </w:rPr>
              <w:t xml:space="preserve">参数</w:t>
            </w:r>
          </w:p>
        </w:tc>
        <w:tc>
          <w:tcPr>
            <w:tcW w:type="dxa" w:w="3200"/>
            <w:tcBorders>
              <w:top w:val="single" w:color="1F2A36" w:sz="12"/>
              <w:left w:val="none" w:color="FFFFFF" w:sz="0"/>
              <w:bottom w:val="single" w:color="1F2A36" w:sz="6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Hei" w:hAnsi="Times New Roman"/>
                <w:b/>
                <w:bCs/>
                <w:sz w:val="21"/>
                <w:szCs w:val="21"/>
              </w:rPr>
              <w:t xml:space="preserve">取值</w:t>
            </w:r>
          </w:p>
        </w:tc>
        <w:tc>
          <w:tcPr>
            <w:tcW w:type="dxa" w:w="4200"/>
            <w:tcBorders>
              <w:top w:val="single" w:color="1F2A36" w:sz="12"/>
              <w:left w:val="none" w:color="FFFFFF" w:sz="0"/>
              <w:bottom w:val="single" w:color="1F2A36" w:sz="6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Hei" w:hAnsi="Times New Roman"/>
                <w:b/>
                <w:bCs/>
                <w:sz w:val="21"/>
                <w:szCs w:val="21"/>
              </w:rPr>
              <w:t xml:space="preserve">含义</w:t>
            </w:r>
          </w:p>
        </w:tc>
      </w:tr>
      <w:tr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sortMode</w:t>
            </w:r>
          </w:p>
        </w:tc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ASC / DESC / BOTTLENECK</w:t>
            </w:r>
          </w:p>
        </w:tc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正排 / 倒排 / 瓶颈锚（默认瓶颈锚）</w:t>
            </w:r>
          </w:p>
        </w:tc>
      </w:tr>
      <w:tr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1F2A36" w:sz="12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orderIds</w:t>
            </w:r>
          </w:p>
        </w:tc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1F2A36" w:sz="12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订单 id 数组</w:t>
            </w:r>
          </w:p>
        </w:tc>
        <w:tc>
          <w:tcPr>
            <w:tcW w:type="dxa" w:w="4200"/>
            <w:tcBorders>
              <w:top w:val="none" w:color="FFFFFF" w:sz="0"/>
              <w:left w:val="none" w:color="FFFFFF" w:sz="0"/>
              <w:bottom w:val="single" w:color="1F2A36" w:sz="12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仅排指定订单，缺省排全部</w:t>
            </w:r>
          </w:p>
        </w:tc>
      </w:tr>
    </w:tbl>
    <w:p>
      <w:pPr>
        <w:spacing w:after="120" w:line="360"/>
      </w:pPr>
      <w:r>
        <w:rPr>
          <w:rFonts w:ascii="Times New Roman" w:cs="Times New Roman" w:eastAsia="SimSun" w:hAnsi="Times New Roman"/>
          <w:sz w:val="24"/>
          <w:szCs w:val="24"/>
        </w:rPr>
        <w:t xml:space="preserve"/>
      </w:r>
    </w:p>
    <w:p>
      <w:pPr>
        <w:pStyle w:val="Heading2"/>
        <w:spacing w:after="160" w:before="280"/>
      </w:pPr>
      <w:r>
        <w:rPr>
          <w:rFonts w:ascii="Times New Roman" w:cs="Times New Roman" w:eastAsia="SimHei" w:hAnsi="Times New Roman"/>
          <w:b/>
          <w:bCs/>
          <w:color w:val="1F2A36"/>
          <w:sz w:val="28"/>
          <w:szCs w:val="28"/>
        </w:rPr>
        <w:t xml:space="preserve">8.3 方案对比与采用</w:t>
      </w:r>
    </w:p>
    <w:p>
      <w:pPr>
        <w:spacing w:after="120" w:line="360"/>
        <w:ind w:firstLine="480"/>
        <w:jc w:val="both"/>
      </w:pPr>
      <w:r>
        <w:rPr>
          <w:rFonts w:ascii="Times New Roman" w:cs="Times New Roman" w:eastAsia="SimSun" w:hAnsi="Times New Roman"/>
          <w:sz w:val="24"/>
          <w:szCs w:val="24"/>
        </w:rPr>
        <w:t xml:space="preserve">口令“对比几种策略”触发沙盒内多策略并行试排，返回方案卡组（KPI、差异、Pareto 前沿与偏好推荐）。点击“采用此方案”将所选策略落入主干草稿。须注意：对比不等于发布，采用前主干世界保持不变。</w:t>
      </w:r>
    </w:p>
    <w:p>
      <w:pPr>
        <w:pStyle w:val="Heading2"/>
        <w:spacing w:after="160" w:before="280"/>
      </w:pPr>
      <w:r>
        <w:rPr>
          <w:rFonts w:ascii="Times New Roman" w:cs="Times New Roman" w:eastAsia="SimHei" w:hAnsi="Times New Roman"/>
          <w:b/>
          <w:bCs/>
          <w:color w:val="1F2A36"/>
          <w:sz w:val="28"/>
          <w:szCs w:val="28"/>
        </w:rPr>
        <w:t xml:space="preserve">8.4 发布、存档与回滚</w:t>
      </w:r>
    </w:p>
    <w:p>
      <w:pPr>
        <w:spacing w:after="80" w:before="120"/>
        <w:jc w:val="center"/>
      </w:pPr>
      <w:r>
        <w:rPr>
          <w:rFonts w:ascii="Times New Roman" w:cs="Times New Roman" w:eastAsia="SimHei" w:hAnsi="Times New Roman"/>
          <w:b/>
          <w:bCs/>
          <w:color w:val="2F4858"/>
          <w:sz w:val="21"/>
          <w:szCs w:val="21"/>
        </w:rPr>
        <w:t xml:space="preserve">表 8-2 版本生命周期操作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2700"/>
        <w:gridCol w:w="1000"/>
        <w:gridCol w:w="4300"/>
      </w:tblGrid>
      <w:tr>
        <w:trPr>
          <w:tblHeader/>
        </w:trPr>
        <w:tc>
          <w:tcPr>
            <w:tcW w:type="dxa" w:w="1200"/>
            <w:tcBorders>
              <w:top w:val="single" w:color="1F2A36" w:sz="12"/>
              <w:left w:val="none" w:color="FFFFFF" w:sz="0"/>
              <w:bottom w:val="single" w:color="1F2A36" w:sz="6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Hei" w:hAnsi="Times New Roman"/>
                <w:b/>
                <w:bCs/>
                <w:sz w:val="21"/>
                <w:szCs w:val="21"/>
              </w:rPr>
              <w:t xml:space="preserve">操作</w:t>
            </w:r>
          </w:p>
        </w:tc>
        <w:tc>
          <w:tcPr>
            <w:tcW w:type="dxa" w:w="2700"/>
            <w:tcBorders>
              <w:top w:val="single" w:color="1F2A36" w:sz="12"/>
              <w:left w:val="none" w:color="FFFFFF" w:sz="0"/>
              <w:bottom w:val="single" w:color="1F2A36" w:sz="6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Hei" w:hAnsi="Times New Roman"/>
                <w:b/>
                <w:bCs/>
                <w:sz w:val="21"/>
                <w:szCs w:val="21"/>
              </w:rPr>
              <w:t xml:space="preserve">口令</w:t>
            </w:r>
          </w:p>
        </w:tc>
        <w:tc>
          <w:tcPr>
            <w:tcW w:type="dxa" w:w="1000"/>
            <w:tcBorders>
              <w:top w:val="single" w:color="1F2A36" w:sz="12"/>
              <w:left w:val="none" w:color="FFFFFF" w:sz="0"/>
              <w:bottom w:val="single" w:color="1F2A36" w:sz="6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Hei" w:hAnsi="Times New Roman"/>
                <w:b/>
                <w:bCs/>
                <w:sz w:val="21"/>
                <w:szCs w:val="21"/>
              </w:rPr>
              <w:t xml:space="preserve">权级</w:t>
            </w:r>
          </w:p>
        </w:tc>
        <w:tc>
          <w:tcPr>
            <w:tcW w:type="dxa" w:w="4300"/>
            <w:tcBorders>
              <w:top w:val="single" w:color="1F2A36" w:sz="12"/>
              <w:left w:val="none" w:color="FFFFFF" w:sz="0"/>
              <w:bottom w:val="single" w:color="1F2A36" w:sz="6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Hei" w:hAnsi="Times New Roman"/>
                <w:b/>
                <w:bCs/>
                <w:sz w:val="21"/>
                <w:szCs w:val="21"/>
              </w:rPr>
              <w:t xml:space="preserve">语义</w:t>
            </w:r>
          </w:p>
        </w:tc>
      </w:tr>
      <w:tr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发布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发布这个版本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P2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DRAFT→PUBLISHED；仅完整 DRAFT 可发布，执行前自动建档</w:t>
            </w:r>
          </w:p>
        </w:tc>
      </w:tr>
      <w:tr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存档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存个档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P1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对话上下文与世界状态成对快照</w:t>
            </w:r>
          </w:p>
        </w:tc>
      </w:tr>
      <w:tr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回滚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回滚 / 点时间线检查点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P2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回滚前自动再次存档（安全网）</w:t>
            </w:r>
          </w:p>
        </w:tc>
      </w:tr>
      <w:tr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1F2A36" w:sz="12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重置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single" w:color="1F2A36" w:sz="12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清空数据重新初始化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1F2A36" w:sz="12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P2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single" w:color="1F2A36" w:sz="12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重播演示种子（电子装配演示工厂）</w:t>
            </w:r>
          </w:p>
        </w:tc>
      </w:tr>
    </w:tbl>
    <w:p>
      <w:pPr>
        <w:spacing w:after="120" w:line="360"/>
      </w:pPr>
      <w:r>
        <w:rPr>
          <w:rFonts w:ascii="Times New Roman" w:cs="Times New Roman" w:eastAsia="SimSun" w:hAnsi="Times New Roman"/>
          <w:sz w:val="24"/>
          <w:szCs w:val="24"/>
        </w:rPr>
        <w:t xml:space="preserve"/>
      </w:r>
    </w:p>
    <w:p>
      <w:pPr>
        <w:pStyle w:val="Heading2"/>
        <w:spacing w:after="160" w:before="280"/>
      </w:pPr>
      <w:r>
        <w:rPr>
          <w:rFonts w:ascii="Times New Roman" w:cs="Times New Roman" w:eastAsia="SimHei" w:hAnsi="Times New Roman"/>
          <w:b/>
          <w:bCs/>
          <w:color w:val="1F2A36"/>
          <w:sz w:val="28"/>
          <w:szCs w:val="28"/>
        </w:rPr>
        <w:t xml:space="preserve">8.5 工单拖拽调程</w:t>
      </w:r>
    </w:p>
    <w:p>
      <w:pPr>
        <w:spacing w:after="120" w:line="360"/>
        <w:ind w:firstLine="480"/>
        <w:jc w:val="both"/>
      </w:pPr>
      <w:r>
        <w:rPr>
          <w:rFonts w:ascii="Times New Roman" w:cs="Times New Roman" w:eastAsia="SimSun" w:hAnsi="Times New Roman"/>
          <w:sz w:val="24"/>
          <w:szCs w:val="24"/>
        </w:rPr>
        <w:t xml:space="preserve">固定与柔性甘特均支持直接拖动工单：15 分钟吸附、拖动过程实时校验、松手生成 P2 确认卡，批准后形成新版本。</w:t>
      </w:r>
    </w:p>
    <w:p>
      <w:pPr>
        <w:pStyle w:val="Heading2"/>
        <w:spacing w:after="160" w:before="280"/>
      </w:pPr>
      <w:r>
        <w:rPr>
          <w:rFonts w:ascii="Times New Roman" w:cs="Times New Roman" w:eastAsia="SimHei" w:hAnsi="Times New Roman"/>
          <w:b/>
          <w:bCs/>
          <w:color w:val="1F2A36"/>
          <w:sz w:val="28"/>
          <w:szCs w:val="28"/>
        </w:rPr>
        <w:t xml:space="preserve">8.6 冲突处理</w:t>
      </w:r>
    </w:p>
    <w:p>
      <w:pPr>
        <w:spacing w:after="120" w:line="360"/>
        <w:ind w:firstLine="480"/>
        <w:jc w:val="both"/>
      </w:pPr>
      <w:r>
        <w:rPr>
          <w:rFonts w:ascii="Times New Roman" w:cs="Times New Roman" w:eastAsia="SimSun" w:hAnsi="Times New Roman"/>
          <w:sz w:val="24"/>
          <w:szCs w:val="24"/>
        </w:rPr>
        <w:t xml:space="preserve">冲突中心按冲突类型给出修复建议：安全修复为 P1 一键应用；涉及重排的出具 P2 确认卡。硬阻断（缺料、无可用设备等）展示聚合计数、具体对象、证据与修复入口，绝不显示绿色“排产完成”。</w:t>
      </w:r>
    </w:p>
    <w:p>
      <w:pPr>
        <w:pStyle w:val="Heading1"/>
        <w:spacing w:after="240" w:before="360"/>
      </w:pPr>
      <w:r>
        <w:rPr>
          <w:rFonts w:ascii="Times New Roman" w:cs="Times New Roman" w:eastAsia="SimHei" w:hAnsi="Times New Roman"/>
          <w:b/>
          <w:bCs/>
          <w:color w:val="1F2A36"/>
          <w:sz w:val="32"/>
          <w:szCs w:val="32"/>
        </w:rPr>
        <w:t xml:space="preserve">第九章 计划层功能</w:t>
      </w:r>
    </w:p>
    <w:p>
      <w:pPr>
        <w:spacing w:after="120" w:line="360"/>
        <w:ind w:firstLine="480"/>
        <w:jc w:val="both"/>
      </w:pPr>
      <w:r>
        <w:rPr>
          <w:rFonts w:ascii="Times New Roman" w:cs="Times New Roman" w:eastAsia="SimSun" w:hAnsi="Times New Roman"/>
          <w:sz w:val="24"/>
          <w:szCs w:val="24"/>
        </w:rPr>
        <w:t xml:space="preserve">计划层（Advanced Planning）在排产前提供中长期粗能力评估与决策支持，各项能力及对应口令如下表。</w:t>
      </w:r>
    </w:p>
    <w:p>
      <w:pPr>
        <w:spacing w:after="80" w:before="120"/>
        <w:jc w:val="center"/>
      </w:pPr>
      <w:r>
        <w:rPr>
          <w:rFonts w:ascii="Times New Roman" w:cs="Times New Roman" w:eastAsia="SimHei" w:hAnsi="Times New Roman"/>
          <w:b/>
          <w:bCs/>
          <w:color w:val="2F4858"/>
          <w:sz w:val="21"/>
          <w:szCs w:val="21"/>
        </w:rPr>
        <w:t xml:space="preserve">表 9-1 计划层能力一览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2700"/>
        <w:gridCol w:w="4600"/>
      </w:tblGrid>
      <w:tr>
        <w:trPr>
          <w:tblHeader/>
        </w:trPr>
        <w:tc>
          <w:tcPr>
            <w:tcW w:type="dxa" w:w="1900"/>
            <w:tcBorders>
              <w:top w:val="single" w:color="1F2A36" w:sz="12"/>
              <w:left w:val="none" w:color="FFFFFF" w:sz="0"/>
              <w:bottom w:val="single" w:color="1F2A36" w:sz="6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Hei" w:hAnsi="Times New Roman"/>
                <w:b/>
                <w:bCs/>
                <w:sz w:val="21"/>
                <w:szCs w:val="21"/>
              </w:rPr>
              <w:t xml:space="preserve">能力</w:t>
            </w:r>
          </w:p>
        </w:tc>
        <w:tc>
          <w:tcPr>
            <w:tcW w:type="dxa" w:w="2700"/>
            <w:tcBorders>
              <w:top w:val="single" w:color="1F2A36" w:sz="12"/>
              <w:left w:val="none" w:color="FFFFFF" w:sz="0"/>
              <w:bottom w:val="single" w:color="1F2A36" w:sz="6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Hei" w:hAnsi="Times New Roman"/>
                <w:b/>
                <w:bCs/>
                <w:sz w:val="21"/>
                <w:szCs w:val="21"/>
              </w:rPr>
              <w:t xml:space="preserve">口令</w:t>
            </w:r>
          </w:p>
        </w:tc>
        <w:tc>
          <w:tcPr>
            <w:tcW w:type="dxa" w:w="4600"/>
            <w:tcBorders>
              <w:top w:val="single" w:color="1F2A36" w:sz="12"/>
              <w:left w:val="none" w:color="FFFFFF" w:sz="0"/>
              <w:bottom w:val="single" w:color="1F2A36" w:sz="6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Hei" w:hAnsi="Times New Roman"/>
                <w:b/>
                <w:bCs/>
                <w:sz w:val="21"/>
                <w:szCs w:val="21"/>
              </w:rPr>
              <w:t xml:space="preserve">功能说明</w:t>
            </w:r>
          </w:p>
        </w:tc>
      </w:tr>
      <w:t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时间分桶计划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时间分桶 / 混合分桶</w:t>
            </w:r>
          </w:p>
        </w:tc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近 7 日 / 中 4 周 / 远月混合时段建模</w:t>
            </w:r>
          </w:p>
        </w:tc>
      </w:tr>
      <w:t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粗能力评估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有限产能粗评 / 无限产能粗评 / 粗能力对比</w:t>
            </w:r>
          </w:p>
        </w:tc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FINITE / INFINITE 双模式对照</w:t>
            </w:r>
          </w:p>
        </w:tc>
      </w:tr>
      <w:t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可行性分析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可行性分析 / 能否按期</w:t>
            </w:r>
          </w:p>
        </w:tc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累计粗能力对交期需求，定位缺口桶与订单 slack</w:t>
            </w:r>
          </w:p>
        </w:tc>
      </w:tr>
      <w:t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库存投影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库存投影</w:t>
            </w:r>
          </w:p>
        </w:tc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期初 + 在途 + 毛需求 + 到货的日 / 周库存曲线，断料与安全库存告警</w:t>
            </w:r>
          </w:p>
        </w:tc>
      </w:tr>
      <w:t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产能平衡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削峰 / 产能平衡</w:t>
            </w:r>
          </w:p>
        </w:tc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超载桶向空档挪动建议，前后负荷对照</w:t>
            </w:r>
          </w:p>
        </w:tc>
      </w:tr>
      <w:t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产供决策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产供决策 / 加班建议</w:t>
            </w:r>
          </w:p>
        </w:tc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残留缺口沿加班→扩线→外协给出结构化建议</w:t>
            </w:r>
          </w:p>
        </w:tc>
      </w:tr>
      <w:t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交期承诺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对话询价 / 柔性工作台询价</w:t>
            </w:r>
          </w:p>
        </w:tc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询单插入模拟，输出乐观 / 预计 / 悲观三区间与资源缺口</w:t>
            </w:r>
          </w:p>
        </w:tc>
      </w:tr>
      <w:t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1F2A36" w:sz="12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瓶颈产能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single" w:color="1F2A36" w:sz="12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视口“产能池”</w:t>
            </w:r>
          </w:p>
        </w:tc>
        <w:tc>
          <w:tcPr>
            <w:tcW w:type="dxa" w:w="4600"/>
            <w:tcBorders>
              <w:top w:val="none" w:color="FFFFFF" w:sz="0"/>
              <w:left w:val="none" w:color="FFFFFF" w:sz="0"/>
              <w:bottom w:val="single" w:color="1F2A36" w:sz="12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日产能 = 瓶颈工序可用工时 ÷ 单件工时；设备停机 / 调区即时重算，含 4h / 1d / 1w 预测与 85 / 95 预警</w:t>
            </w:r>
          </w:p>
        </w:tc>
      </w:tr>
    </w:tbl>
    <w:p>
      <w:pPr>
        <w:spacing w:after="120" w:line="360"/>
      </w:pPr>
      <w:r>
        <w:rPr>
          <w:rFonts w:ascii="Times New Roman" w:cs="Times New Roman" w:eastAsia="SimSun" w:hAnsi="Times New Roman"/>
          <w:sz w:val="24"/>
          <w:szCs w:val="24"/>
        </w:rPr>
        <w:t xml:space="preserve"/>
      </w:r>
    </w:p>
    <w:p>
      <w:pPr>
        <w:pStyle w:val="Heading1"/>
        <w:spacing w:after="240" w:before="360"/>
      </w:pPr>
      <w:r>
        <w:rPr>
          <w:rFonts w:ascii="Times New Roman" w:cs="Times New Roman" w:eastAsia="SimHei" w:hAnsi="Times New Roman"/>
          <w:b/>
          <w:bCs/>
          <w:color w:val="1F2A36"/>
          <w:sz w:val="32"/>
          <w:szCs w:val="32"/>
        </w:rPr>
        <w:t xml:space="preserve">第十章 动态调度与异常重排</w:t>
      </w:r>
    </w:p>
    <w:p>
      <w:pPr>
        <w:spacing w:after="120" w:line="360"/>
        <w:ind w:firstLine="480"/>
        <w:jc w:val="both"/>
      </w:pPr>
      <w:r>
        <w:rPr>
          <w:rFonts w:ascii="Times New Roman" w:cs="Times New Roman" w:eastAsia="SimSun" w:hAnsi="Times New Roman"/>
          <w:sz w:val="24"/>
          <w:szCs w:val="24"/>
        </w:rPr>
        <w:t xml:space="preserve">系统对生产异常实施 L1–L4 分级重排机制，扰动逐级扩大，确认门禁随级别提升。</w:t>
      </w:r>
    </w:p>
    <w:p>
      <w:pPr>
        <w:spacing w:after="80" w:before="120"/>
        <w:jc w:val="center"/>
      </w:pPr>
      <w:r>
        <w:rPr>
          <w:rFonts w:ascii="Times New Roman" w:cs="Times New Roman" w:eastAsia="SimHei" w:hAnsi="Times New Roman"/>
          <w:b/>
          <w:bCs/>
          <w:color w:val="2F4858"/>
          <w:sz w:val="21"/>
          <w:szCs w:val="21"/>
        </w:rPr>
        <w:t xml:space="preserve">表 10-1 分级重排机制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2900"/>
        <w:gridCol w:w="5200"/>
      </w:tblGrid>
      <w:tr>
        <w:trPr>
          <w:tblHeader/>
        </w:trPr>
        <w:tc>
          <w:tcPr>
            <w:tcW w:type="dxa" w:w="1100"/>
            <w:tcBorders>
              <w:top w:val="single" w:color="1F2A36" w:sz="12"/>
              <w:left w:val="none" w:color="FFFFFF" w:sz="0"/>
              <w:bottom w:val="single" w:color="1F2A36" w:sz="6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Hei" w:hAnsi="Times New Roman"/>
                <w:b/>
                <w:bCs/>
                <w:sz w:val="21"/>
                <w:szCs w:val="21"/>
              </w:rPr>
              <w:t xml:space="preserve">级别</w:t>
            </w:r>
          </w:p>
        </w:tc>
        <w:tc>
          <w:tcPr>
            <w:tcW w:type="dxa" w:w="2900"/>
            <w:tcBorders>
              <w:top w:val="single" w:color="1F2A36" w:sz="12"/>
              <w:left w:val="none" w:color="FFFFFF" w:sz="0"/>
              <w:bottom w:val="single" w:color="1F2A36" w:sz="6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Hei" w:hAnsi="Times New Roman"/>
                <w:b/>
                <w:bCs/>
                <w:sz w:val="21"/>
                <w:szCs w:val="21"/>
              </w:rPr>
              <w:t xml:space="preserve">典型触发</w:t>
            </w:r>
          </w:p>
        </w:tc>
        <w:tc>
          <w:tcPr>
            <w:tcW w:type="dxa" w:w="5200"/>
            <w:tcBorders>
              <w:top w:val="single" w:color="1F2A36" w:sz="12"/>
              <w:left w:val="none" w:color="FFFFFF" w:sz="0"/>
              <w:bottom w:val="single" w:color="1F2A36" w:sz="6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Hei" w:hAnsi="Times New Roman"/>
                <w:b/>
                <w:bCs/>
                <w:sz w:val="21"/>
                <w:szCs w:val="21"/>
              </w:rPr>
              <w:t xml:space="preserve">重排行为</w:t>
            </w:r>
          </w:p>
        </w:tc>
      </w:tr>
      <w:tr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L1</w:t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设备故障（优先）</w:t>
            </w:r>
          </w:p>
        </w:tc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池内备机换机，最小扰动</w:t>
            </w:r>
          </w:p>
        </w:tc>
      </w:tr>
      <w:tr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L2</w:t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短窗变化</w:t>
            </w:r>
          </w:p>
        </w:tc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窗内重排，P2 确认</w:t>
            </w:r>
          </w:p>
        </w:tc>
      </w:tr>
      <w:tr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L3</w:t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日级变化</w:t>
            </w:r>
          </w:p>
        </w:tc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日窗重排，P2 确认</w:t>
            </w:r>
          </w:p>
        </w:tc>
      </w:tr>
      <w:tr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1F2A36" w:sz="12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L4</w:t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single" w:color="1F2A36" w:sz="12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重大异常</w:t>
            </w:r>
          </w:p>
        </w:tc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1F2A36" w:sz="12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全局重排，P2 确认</w:t>
            </w:r>
          </w:p>
        </w:tc>
      </w:tr>
    </w:tbl>
    <w:p>
      <w:pPr>
        <w:spacing w:after="120" w:line="360"/>
      </w:pPr>
      <w:r>
        <w:rPr>
          <w:rFonts w:ascii="Times New Roman" w:cs="Times New Roman" w:eastAsia="SimSun" w:hAnsi="Times New Roman"/>
          <w:sz w:val="24"/>
          <w:szCs w:val="24"/>
        </w:rPr>
        <w:t xml:space="preserve"/>
      </w:r>
    </w:p>
    <w:p>
      <w:pPr>
        <w:spacing w:after="120" w:line="360"/>
        <w:ind w:firstLine="480"/>
        <w:jc w:val="both"/>
      </w:pPr>
      <w:r>
        <w:rPr>
          <w:rFonts w:ascii="Times New Roman" w:cs="Times New Roman" w:eastAsia="SimSun" w:hAnsi="Times New Roman"/>
          <w:sz w:val="24"/>
          <w:szCs w:val="24"/>
        </w:rPr>
        <w:t xml:space="preserve">典型场景：可移动设备故障一台时，能力池存在冗余，交期几乎不受影响；单一瓶颈设备（如唯一激光焊接机）故障时，系统立即报告“无可用设备”，并提示启用备机、外协或重新议定交期。WMS 缺料事件触发“缺料 → 重排 → 确认 → MES 下发 → 回执”全链路闭环。</w:t>
      </w:r>
    </w:p>
    <w:p>
      <w:pPr>
        <w:pStyle w:val="Heading1"/>
        <w:spacing w:after="240" w:before="360"/>
      </w:pPr>
      <w:r>
        <w:rPr>
          <w:rFonts w:ascii="Times New Roman" w:cs="Times New Roman" w:eastAsia="SimHei" w:hAnsi="Times New Roman"/>
          <w:b/>
          <w:bCs/>
          <w:color w:val="1F2A36"/>
          <w:sz w:val="32"/>
          <w:szCs w:val="32"/>
        </w:rPr>
        <w:t xml:space="preserve">第十一章 结果视图与报表</w:t>
      </w:r>
    </w:p>
    <w:p>
      <w:pPr>
        <w:spacing w:after="80" w:before="120"/>
        <w:jc w:val="center"/>
      </w:pPr>
      <w:r>
        <w:rPr>
          <w:rFonts w:ascii="Times New Roman" w:cs="Times New Roman" w:eastAsia="SimHei" w:hAnsi="Times New Roman"/>
          <w:b/>
          <w:bCs/>
          <w:color w:val="2F4858"/>
          <w:sz w:val="21"/>
          <w:szCs w:val="21"/>
        </w:rPr>
        <w:t xml:space="preserve">表 11-1 结果视口一览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7100"/>
      </w:tblGrid>
      <w:tr>
        <w:trPr>
          <w:tblHeader/>
        </w:trPr>
        <w:tc>
          <w:tcPr>
            <w:tcW w:type="dxa" w:w="2100"/>
            <w:tcBorders>
              <w:top w:val="single" w:color="1F2A36" w:sz="12"/>
              <w:left w:val="none" w:color="FFFFFF" w:sz="0"/>
              <w:bottom w:val="single" w:color="1F2A36" w:sz="6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Hei" w:hAnsi="Times New Roman"/>
                <w:b/>
                <w:bCs/>
                <w:sz w:val="21"/>
                <w:szCs w:val="21"/>
              </w:rPr>
              <w:t xml:space="preserve">视口</w:t>
            </w:r>
          </w:p>
        </w:tc>
        <w:tc>
          <w:tcPr>
            <w:tcW w:type="dxa" w:w="7100"/>
            <w:tcBorders>
              <w:top w:val="single" w:color="1F2A36" w:sz="12"/>
              <w:left w:val="none" w:color="FFFFFF" w:sz="0"/>
              <w:bottom w:val="single" w:color="1F2A36" w:sz="6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Hei" w:hAnsi="Times New Roman"/>
                <w:b/>
                <w:bCs/>
                <w:sz w:val="21"/>
                <w:szCs w:val="21"/>
              </w:rPr>
              <w:t xml:space="preserve">内容</w:t>
            </w:r>
          </w:p>
        </w:tc>
      </w:tr>
      <w:t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甘特</w:t>
            </w:r>
          </w:p>
        </w:tc>
        <w:tc>
          <w:tcPr>
            <w:tcW w:type="dxa" w:w="7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固定 / 柔性双轨，工单拖拽与冲突高亮</w:t>
            </w:r>
          </w:p>
        </w:tc>
      </w:tr>
      <w:t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负荷 / 利用率</w:t>
            </w:r>
          </w:p>
        </w:tc>
        <w:tc>
          <w:tcPr>
            <w:tcW w:type="dxa" w:w="7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产线与设备负荷、柔性设备 7 日热力、班组并发触顶提示</w:t>
            </w:r>
          </w:p>
        </w:tc>
      </w:tr>
      <w:t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交期看板</w:t>
            </w:r>
          </w:p>
        </w:tc>
        <w:tc>
          <w:tcPr>
            <w:tcW w:type="dxa" w:w="7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订单准时 / 延误一览</w:t>
            </w:r>
          </w:p>
        </w:tc>
      </w:tr>
      <w:t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对比表</w:t>
            </w:r>
          </w:p>
        </w:tc>
        <w:tc>
          <w:tcPr>
            <w:tcW w:type="dxa" w:w="7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固定策略与柔性三模式 KPI 矩阵，最优格高亮并标注相对 delta</w:t>
            </w:r>
          </w:p>
        </w:tc>
      </w:tr>
      <w:t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KPI 仪表盘</w:t>
            </w:r>
          </w:p>
        </w:tc>
        <w:tc>
          <w:tcPr>
            <w:tcW w:type="dxa" w:w="7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利用率 / 准时率 / 在制 / 延误汇总（口令“打开仪表盘”）</w:t>
            </w:r>
          </w:p>
        </w:tc>
      </w:tr>
      <w:t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产能池</w:t>
            </w:r>
          </w:p>
        </w:tc>
        <w:tc>
          <w:tcPr>
            <w:tcW w:type="dxa" w:w="7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池负载率、瓶颈色标、短中长期预测、设备调配 What-if</w:t>
            </w:r>
          </w:p>
        </w:tc>
      </w:tr>
      <w:tr>
        <w:tc>
          <w:tcPr>
            <w:tcW w:type="dxa" w:w="2100"/>
            <w:tcBorders>
              <w:top w:val="none" w:color="FFFFFF" w:sz="0"/>
              <w:left w:val="none" w:color="FFFFFF" w:sz="0"/>
              <w:bottom w:val="single" w:color="1F2A36" w:sz="12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时间线</w:t>
            </w:r>
          </w:p>
        </w:tc>
        <w:tc>
          <w:tcPr>
            <w:tcW w:type="dxa" w:w="7100"/>
            <w:tcBorders>
              <w:top w:val="none" w:color="FFFFFF" w:sz="0"/>
              <w:left w:val="none" w:color="FFFFFF" w:sz="0"/>
              <w:bottom w:val="single" w:color="1F2A36" w:sz="12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检查点列表，点击即回滚</w:t>
            </w:r>
          </w:p>
        </w:tc>
      </w:tr>
    </w:tbl>
    <w:p>
      <w:pPr>
        <w:spacing w:after="120" w:line="360"/>
      </w:pPr>
      <w:r>
        <w:rPr>
          <w:rFonts w:ascii="Times New Roman" w:cs="Times New Roman" w:eastAsia="SimSun" w:hAnsi="Times New Roman"/>
          <w:sz w:val="24"/>
          <w:szCs w:val="24"/>
        </w:rPr>
        <w:t xml:space="preserve"/>
      </w:r>
    </w:p>
    <w:p>
      <w:pPr>
        <w:spacing w:after="120" w:line="360"/>
        <w:ind w:firstLine="480"/>
        <w:jc w:val="both"/>
      </w:pPr>
      <w:r>
        <w:rPr>
          <w:rFonts w:ascii="Times New Roman" w:cs="Times New Roman" w:eastAsia="SimSun" w:hAnsi="Times New Roman"/>
          <w:sz w:val="24"/>
          <w:szCs w:val="24"/>
        </w:rPr>
        <w:t xml:space="preserve">报表经口令“生成日报”“版本对比”生成，数字取自冻结快照模板，不经大模型改写。审计支持哈希链校验、Merkle 树、断链检测与归档加密导出。</w:t>
      </w:r>
    </w:p>
    <w:p>
      <w:pPr>
        <w:pStyle w:val="Heading1"/>
        <w:spacing w:after="240" w:before="360"/>
      </w:pPr>
      <w:r>
        <w:rPr>
          <w:rFonts w:ascii="Times New Roman" w:cs="Times New Roman" w:eastAsia="SimHei" w:hAnsi="Times New Roman"/>
          <w:b/>
          <w:bCs/>
          <w:color w:val="1F2A36"/>
          <w:sz w:val="32"/>
          <w:szCs w:val="32"/>
        </w:rPr>
        <w:t xml:space="preserve">第十二章 MES 下发与执行闭环</w:t>
      </w:r>
    </w:p>
    <w:p>
      <w:pPr>
        <w:spacing w:after="120" w:line="360"/>
        <w:ind w:firstLine="480"/>
        <w:jc w:val="both"/>
      </w:pPr>
      <w:r>
        <w:rPr>
          <w:rFonts w:ascii="Times New Roman" w:cs="Times New Roman" w:eastAsia="SimSun" w:hAnsi="Times New Roman"/>
          <w:sz w:val="24"/>
          <w:szCs w:val="24"/>
        </w:rPr>
        <w:t xml:space="preserve">已发布版本经柔性工作台“MES 执行”或下发口令进入下发流程：P3 二次确认后，Mock MES 幂等下发。报工回流经 mes.report（P1）回报进度与完工，订单整单完工状态联动推进。订单页阶段状态取自持久化的闭环问题与 MES 事实，刷新后不退回静态“待确认”。</w:t>
      </w:r>
    </w:p>
    <w:p>
      <w:pPr>
        <w:pStyle w:val="Heading1"/>
        <w:spacing w:after="240" w:before="360"/>
      </w:pPr>
      <w:r>
        <w:rPr>
          <w:rFonts w:ascii="Times New Roman" w:cs="Times New Roman" w:eastAsia="SimHei" w:hAnsi="Times New Roman"/>
          <w:b/>
          <w:bCs/>
          <w:color w:val="1F2A36"/>
          <w:sz w:val="32"/>
          <w:szCs w:val="32"/>
        </w:rPr>
        <w:t xml:space="preserve">第十三章 多智能体编排</w:t>
      </w:r>
    </w:p>
    <w:p>
      <w:pPr>
        <w:spacing w:after="120" w:line="360"/>
        <w:ind w:firstLine="480"/>
        <w:jc w:val="both"/>
      </w:pPr>
      <w:r>
        <w:rPr>
          <w:rFonts w:ascii="Times New Roman" w:cs="Times New Roman" w:eastAsia="SimSun" w:hAnsi="Times New Roman"/>
          <w:sz w:val="24"/>
          <w:szCs w:val="24"/>
        </w:rPr>
        <w:t xml:space="preserve">右侧栏“多智能体编排”面板支持按需组建智能体团队并自动分发执行，操作步骤如下。</w:t>
      </w:r>
    </w:p>
    <w:p>
      <w:pPr>
        <w:pStyle w:val="ListParagraph"/>
        <w:numPr>
          <w:ilvl w:val="0"/>
          <w:numId w:val="1"/>
        </w:numPr>
        <w:spacing w:after="120" w:line="360"/>
        <w:ind w:left="480"/>
      </w:pPr>
      <w:r>
        <w:rPr>
          <w:rFonts w:ascii="Times New Roman" w:cs="Times New Roman" w:eastAsia="SimSun" w:hAnsi="Times New Roman"/>
          <w:sz w:val="24"/>
          <w:szCs w:val="24"/>
        </w:rPr>
        <w:t xml:space="preserve">创建智能体：输入名称并选择角色（数据解析 / MRP 分解 / 柔性排产 / 报告等）；</w:t>
      </w:r>
    </w:p>
    <w:p>
      <w:pPr>
        <w:pStyle w:val="ListParagraph"/>
        <w:numPr>
          <w:ilvl w:val="0"/>
          <w:numId w:val="1"/>
        </w:numPr>
        <w:spacing w:after="120" w:line="360"/>
        <w:ind w:left="480"/>
      </w:pPr>
      <w:r>
        <w:rPr>
          <w:rFonts w:ascii="Times New Roman" w:cs="Times New Roman" w:eastAsia="SimSun" w:hAnsi="Times New Roman"/>
          <w:sz w:val="24"/>
          <w:szCs w:val="24"/>
        </w:rPr>
        <w:t xml:space="preserve">挂载 Goal：填写标题并选用模板（如“解析→分解→下达→排产→报告”五任务模板），看门狗随即开始监控；</w:t>
      </w:r>
    </w:p>
    <w:p>
      <w:pPr>
        <w:pStyle w:val="ListParagraph"/>
        <w:numPr>
          <w:ilvl w:val="0"/>
          <w:numId w:val="1"/>
        </w:numPr>
        <w:spacing w:after="120" w:line="360"/>
        <w:ind w:left="480"/>
      </w:pPr>
      <w:r>
        <w:rPr>
          <w:rFonts w:ascii="Times New Roman" w:cs="Times New Roman" w:eastAsia="SimSun" w:hAnsi="Times New Roman"/>
          <w:sz w:val="24"/>
          <w:szCs w:val="24"/>
        </w:rPr>
        <w:t xml:space="preserve">分发执行：看门狗按能力边界将任务分发给空闲智能体，无合适智能体时自动新建；</w:t>
      </w:r>
    </w:p>
    <w:p>
      <w:pPr>
        <w:pStyle w:val="ListParagraph"/>
        <w:numPr>
          <w:ilvl w:val="0"/>
          <w:numId w:val="1"/>
        </w:numPr>
        <w:spacing w:after="120" w:line="360"/>
        <w:ind w:left="480"/>
      </w:pPr>
      <w:r>
        <w:rPr>
          <w:rFonts w:ascii="Times New Roman" w:cs="Times New Roman" w:eastAsia="SimSun" w:hAnsi="Times New Roman"/>
          <w:sz w:val="24"/>
          <w:szCs w:val="24"/>
        </w:rPr>
        <w:t xml:space="preserve">消息总线：实时显示任务接力过程，亦可手动向任意智能体发消息，对方回报自身状态与能力边界；</w:t>
      </w:r>
    </w:p>
    <w:p>
      <w:pPr>
        <w:pStyle w:val="ListParagraph"/>
        <w:numPr>
          <w:ilvl w:val="0"/>
          <w:numId w:val="1"/>
        </w:numPr>
        <w:spacing w:after="120" w:line="360"/>
        <w:ind w:left="480"/>
      </w:pPr>
      <w:r>
        <w:rPr>
          <w:rFonts w:ascii="Times New Roman" w:cs="Times New Roman" w:eastAsia="SimSun" w:hAnsi="Times New Roman"/>
          <w:sz w:val="24"/>
          <w:szCs w:val="24"/>
        </w:rPr>
        <w:t xml:space="preserve">看门狗机制：RUNNING 超期（默认 45 秒，可一键调至 10 秒用于演示）触发收回重排，重试耗尽升级 ATTENTION；全部任务完成自动结案 ACHIEVED；任务失败诚实落 FAILED 并升级，不伪报成功。</w:t>
      </w:r>
    </w:p>
    <w:p>
      <w:pPr>
        <w:spacing w:after="120" w:line="360"/>
        <w:ind w:firstLine="480"/>
        <w:jc w:val="both"/>
      </w:pPr>
      <w:r>
        <w:rPr>
          <w:rFonts w:ascii="Times New Roman" w:cs="Times New Roman" w:eastAsia="SimSun" w:hAnsi="Times New Roman"/>
          <w:sz w:val="24"/>
          <w:szCs w:val="24"/>
        </w:rPr>
        <w:t xml:space="preserve">重复演示前，先在看门狗区执行一次“恢复”（或调用 POST /api/mesh/reset）。</w:t>
      </w:r>
    </w:p>
    <w:p>
      <w:pPr>
        <w:pStyle w:val="Heading1"/>
        <w:spacing w:after="240" w:before="360"/>
      </w:pPr>
      <w:r>
        <w:rPr>
          <w:rFonts w:ascii="Times New Roman" w:cs="Times New Roman" w:eastAsia="SimHei" w:hAnsi="Times New Roman"/>
          <w:b/>
          <w:bCs/>
          <w:color w:val="1F2A36"/>
          <w:sz w:val="32"/>
          <w:szCs w:val="32"/>
        </w:rPr>
        <w:t xml:space="preserve">第十四章 对话口令速查</w:t>
      </w:r>
    </w:p>
    <w:p>
      <w:pPr>
        <w:spacing w:after="80" w:before="120"/>
        <w:jc w:val="center"/>
      </w:pPr>
      <w:r>
        <w:rPr>
          <w:rFonts w:ascii="Times New Roman" w:cs="Times New Roman" w:eastAsia="SimHei" w:hAnsi="Times New Roman"/>
          <w:b/>
          <w:bCs/>
          <w:color w:val="2F4858"/>
          <w:sz w:val="21"/>
          <w:szCs w:val="21"/>
        </w:rPr>
        <w:t xml:space="preserve">表 14-1 自然语言口令速查表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700"/>
      </w:tblGrid>
      <w:tr>
        <w:trPr>
          <w:tblHeader/>
        </w:trPr>
        <w:tc>
          <w:tcPr>
            <w:tcW w:type="dxa" w:w="1500"/>
            <w:tcBorders>
              <w:top w:val="single" w:color="1F2A36" w:sz="12"/>
              <w:left w:val="none" w:color="FFFFFF" w:sz="0"/>
              <w:bottom w:val="single" w:color="1F2A36" w:sz="6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Hei" w:hAnsi="Times New Roman"/>
                <w:b/>
                <w:bCs/>
                <w:sz w:val="21"/>
                <w:szCs w:val="21"/>
              </w:rPr>
              <w:t xml:space="preserve">类别</w:t>
            </w:r>
          </w:p>
        </w:tc>
        <w:tc>
          <w:tcPr>
            <w:tcW w:type="dxa" w:w="7700"/>
            <w:tcBorders>
              <w:top w:val="single" w:color="1F2A36" w:sz="12"/>
              <w:left w:val="none" w:color="FFFFFF" w:sz="0"/>
              <w:bottom w:val="single" w:color="1F2A36" w:sz="6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Hei" w:hAnsi="Times New Roman"/>
                <w:b/>
                <w:bCs/>
                <w:sz w:val="21"/>
                <w:szCs w:val="21"/>
              </w:rPr>
              <w:t xml:space="preserve">口令</w:t>
            </w:r>
          </w:p>
        </w:tc>
      </w:tr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数据</w:t>
            </w:r>
          </w:p>
        </w:tc>
        <w:tc>
          <w:tcPr>
            <w:tcW w:type="dxa" w:w="7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分析一下数据文件 / 导入完整生产路线 / 清空数据重新初始化</w:t>
            </w:r>
          </w:p>
        </w:tc>
      </w:tr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MRP</w:t>
            </w:r>
          </w:p>
        </w:tc>
        <w:tc>
          <w:tcPr>
            <w:tcW w:type="dxa" w:w="7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执行MRP分解 / 分解订单 SO-001 / 生成采购建议 / 下达MRP建议单</w:t>
            </w:r>
          </w:p>
        </w:tc>
      </w:tr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排产</w:t>
            </w:r>
          </w:p>
        </w:tc>
        <w:tc>
          <w:tcPr>
            <w:tcW w:type="dxa" w:w="7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试排一版交期优先 / 按产能均衡排一下 / 换型最小化试排 / 战役合并试排 / 跑一版柔性排产 / 三模式对比</w:t>
            </w:r>
          </w:p>
        </w:tc>
      </w:tr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方案</w:t>
            </w:r>
          </w:p>
        </w:tc>
        <w:tc>
          <w:tcPr>
            <w:tcW w:type="dxa" w:w="7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对比几种策略 / 采用此方案 / 发布这个版本</w:t>
            </w:r>
          </w:p>
        </w:tc>
      </w:tr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插单</w:t>
            </w:r>
          </w:p>
        </w:tc>
        <w:tc>
          <w:tcPr>
            <w:tcW w:type="dxa" w:w="7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插单快评 / 采用插单</w:t>
            </w:r>
          </w:p>
        </w:tc>
      </w:tr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计划层</w:t>
            </w:r>
          </w:p>
        </w:tc>
        <w:tc>
          <w:tcPr>
            <w:tcW w:type="dxa" w:w="7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时间分桶 / 可行性分析 / 能否按期 / 库存投影 / 削峰 / 产供决策 / 加班建议</w:t>
            </w:r>
          </w:p>
        </w:tc>
      </w:tr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订单</w:t>
            </w:r>
          </w:p>
        </w:tc>
        <w:tc>
          <w:tcPr>
            <w:tcW w:type="dxa" w:w="7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订单池 / 提交审核 / 批量批准 / 查看预测 / 新建预测 / 预测纳入试排 / 预测转正</w:t>
            </w:r>
          </w:p>
        </w:tc>
      </w:tr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主数据</w:t>
            </w:r>
          </w:p>
        </w:tc>
        <w:tc>
          <w:tcPr>
            <w:tcW w:type="dxa" w:w="7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查看换型矩阵 / 提高VIP权重到10</w:t>
            </w:r>
          </w:p>
        </w:tc>
      </w:tr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知识</w:t>
            </w:r>
          </w:p>
        </w:tc>
        <w:tc>
          <w:tcPr>
            <w:tcW w:type="dxa" w:w="7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换线有什么规定 / @知识:标题</w:t>
            </w:r>
          </w:p>
        </w:tc>
      </w:tr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报告</w:t>
            </w:r>
          </w:p>
        </w:tc>
        <w:tc>
          <w:tcPr>
            <w:tcW w:type="dxa" w:w="7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生成日报 / 版本对比 / 打开仪表盘</w:t>
            </w:r>
          </w:p>
        </w:tc>
      </w:tr>
      <w:tr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1F2A36" w:sz="12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存档</w:t>
            </w:r>
          </w:p>
        </w:tc>
        <w:tc>
          <w:tcPr>
            <w:tcW w:type="dxa" w:w="7700"/>
            <w:tcBorders>
              <w:top w:val="none" w:color="FFFFFF" w:sz="0"/>
              <w:left w:val="none" w:color="FFFFFF" w:sz="0"/>
              <w:bottom w:val="single" w:color="1F2A36" w:sz="12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存个档 / 回滚</w:t>
            </w:r>
          </w:p>
        </w:tc>
      </w:tr>
    </w:tbl>
    <w:p>
      <w:pPr>
        <w:spacing w:after="120" w:line="360"/>
      </w:pPr>
      <w:r>
        <w:rPr>
          <w:rFonts w:ascii="Times New Roman" w:cs="Times New Roman" w:eastAsia="SimSun" w:hAnsi="Times New Roman"/>
          <w:sz w:val="24"/>
          <w:szCs w:val="24"/>
        </w:rPr>
        <w:t xml:space="preserve"/>
      </w:r>
    </w:p>
    <w:p>
      <w:pPr>
        <w:spacing w:after="120" w:line="360"/>
        <w:ind w:firstLine="480"/>
      </w:pPr>
      <w:r>
        <w:rPr>
          <w:rFonts w:ascii="Times New Roman" w:cs="Times New Roman" w:eastAsia="SimSun" w:hAnsi="Times New Roman"/>
          <w:i/>
          <w:iCs/>
          <w:color w:val="6B7A86"/>
          <w:sz w:val="21"/>
          <w:szCs w:val="21"/>
        </w:rPr>
        <w:t xml:space="preserve">意图管线为“正则快路 → LLM JSON”两级结构；LLM 超时或非法输出自动降级为正则意图，知识未命中时系统明确告知，不编造 SOP。</w:t>
      </w:r>
    </w:p>
    <w:p>
      <w:pPr>
        <w:pStyle w:val="Heading1"/>
        <w:spacing w:after="240" w:before="360"/>
      </w:pPr>
      <w:r>
        <w:rPr>
          <w:rFonts w:ascii="Times New Roman" w:cs="Times New Roman" w:eastAsia="SimHei" w:hAnsi="Times New Roman"/>
          <w:b/>
          <w:bCs/>
          <w:color w:val="1F2A36"/>
          <w:sz w:val="32"/>
          <w:szCs w:val="32"/>
        </w:rPr>
        <w:t xml:space="preserve">第十五章 治理与安全</w:t>
      </w:r>
    </w:p>
    <w:p>
      <w:pPr>
        <w:pStyle w:val="Heading2"/>
        <w:spacing w:after="160" w:before="280"/>
      </w:pPr>
      <w:r>
        <w:rPr>
          <w:rFonts w:ascii="Times New Roman" w:cs="Times New Roman" w:eastAsia="SimHei" w:hAnsi="Times New Roman"/>
          <w:b/>
          <w:bCs/>
          <w:color w:val="1F2A36"/>
          <w:sz w:val="28"/>
          <w:szCs w:val="28"/>
        </w:rPr>
        <w:t xml:space="preserve">15.1 门禁分级</w:t>
      </w:r>
    </w:p>
    <w:p>
      <w:pPr>
        <w:spacing w:after="120" w:line="360"/>
        <w:ind w:firstLine="480"/>
        <w:jc w:val="both"/>
      </w:pPr>
      <w:r>
        <w:rPr>
          <w:rFonts w:ascii="Times New Roman" w:cs="Times New Roman" w:eastAsia="SimSun" w:hAnsi="Times New Roman"/>
          <w:sz w:val="24"/>
          <w:szCs w:val="24"/>
        </w:rPr>
        <w:t xml:space="preserve">门禁按 P0–P3 四级划分：P0 只读；P1 写草稿直通；P2 单次确认卡；P3 外部副作用二次确认（当前用于 MES 下发）。审批角色可按动作分级配置。所有写操作的唯一执行通道为 /api/actions/confirm，不存在绕过确认卡的直接执行接口。</w:t>
      </w:r>
    </w:p>
    <w:p>
      <w:pPr>
        <w:pStyle w:val="Heading2"/>
        <w:spacing w:after="160" w:before="280"/>
      </w:pPr>
      <w:r>
        <w:rPr>
          <w:rFonts w:ascii="Times New Roman" w:cs="Times New Roman" w:eastAsia="SimHei" w:hAnsi="Times New Roman"/>
          <w:b/>
          <w:bCs/>
          <w:color w:val="1F2A36"/>
          <w:sz w:val="28"/>
          <w:szCs w:val="28"/>
        </w:rPr>
        <w:t xml:space="preserve">15.2 审计与约束</w:t>
      </w:r>
    </w:p>
    <w:p>
      <w:pPr>
        <w:spacing w:after="120" w:line="360"/>
        <w:ind w:firstLine="480"/>
        <w:jc w:val="both"/>
      </w:pPr>
      <w:r>
        <w:rPr>
          <w:rFonts w:ascii="Times New Roman" w:cs="Times New Roman" w:eastAsia="SimSun" w:hAnsi="Times New Roman"/>
          <w:sz w:val="24"/>
          <w:szCs w:val="24"/>
        </w:rPr>
        <w:t xml:space="preserve">每次执行均写入审计链，哈希链可校验，支持断链检测（治理台显示断链徽标）、Merkle 树、归档加密与导出。约束配置中心提供 13 类约束目录，可配置启停与硬 / 软属性，硬约束拦截发布。行业规则包支持 SOP 向排产约束的编译，预览后 P2 应用。</w:t>
      </w:r>
    </w:p>
    <w:p>
      <w:pPr>
        <w:pStyle w:val="Heading2"/>
        <w:spacing w:after="160" w:before="280"/>
      </w:pPr>
      <w:r>
        <w:rPr>
          <w:rFonts w:ascii="Times New Roman" w:cs="Times New Roman" w:eastAsia="SimHei" w:hAnsi="Times New Roman"/>
          <w:b/>
          <w:bCs/>
          <w:color w:val="1F2A36"/>
          <w:sz w:val="28"/>
          <w:szCs w:val="28"/>
        </w:rPr>
        <w:t xml:space="preserve">15.3 功能开关</w:t>
      </w:r>
    </w:p>
    <w:p>
      <w:pPr>
        <w:spacing w:after="120" w:line="360"/>
        <w:ind w:firstLine="480"/>
        <w:jc w:val="both"/>
      </w:pPr>
      <w:r>
        <w:rPr>
          <w:rFonts w:ascii="Times New Roman" w:cs="Times New Roman" w:eastAsia="SimSun" w:hAnsi="Times New Roman"/>
          <w:sz w:val="24"/>
          <w:szCs w:val="24"/>
        </w:rPr>
        <w:t xml:space="preserve">配置文件 server/data/features.json 控制 12 个功能键（visual / orders / master / flex / timeline / drawing / mesh / knowledge / skills / gov / regen / settings）的界面可见性。修改文件后刷新浏览器即生效，无需重启；文件缺失或损坏时全部默认开启（fail-open）。功能开关仅隐藏入口，不替代 Harness 门禁。</w:t>
      </w:r>
    </w:p>
    <w:p>
      <w:pPr>
        <w:pStyle w:val="Heading1"/>
        <w:spacing w:after="240" w:before="360"/>
      </w:pPr>
      <w:r>
        <w:rPr>
          <w:rFonts w:ascii="Times New Roman" w:cs="Times New Roman" w:eastAsia="SimHei" w:hAnsi="Times New Roman"/>
          <w:b/>
          <w:bCs/>
          <w:color w:val="1F2A36"/>
          <w:sz w:val="32"/>
          <w:szCs w:val="32"/>
        </w:rPr>
        <w:t xml:space="preserve">第十六章 常见问题与验收</w:t>
      </w:r>
    </w:p>
    <w:p>
      <w:pPr>
        <w:pStyle w:val="Heading2"/>
        <w:spacing w:after="160" w:before="280"/>
      </w:pPr>
      <w:r>
        <w:rPr>
          <w:rFonts w:ascii="Times New Roman" w:cs="Times New Roman" w:eastAsia="SimHei" w:hAnsi="Times New Roman"/>
          <w:b/>
          <w:bCs/>
          <w:color w:val="1F2A36"/>
          <w:sz w:val="28"/>
          <w:szCs w:val="28"/>
        </w:rPr>
        <w:t xml:space="preserve">16.1 常见问题</w:t>
      </w:r>
    </w:p>
    <w:p>
      <w:pPr>
        <w:spacing w:after="80" w:before="120"/>
        <w:jc w:val="center"/>
      </w:pPr>
      <w:r>
        <w:rPr>
          <w:rFonts w:ascii="Times New Roman" w:cs="Times New Roman" w:eastAsia="SimHei" w:hAnsi="Times New Roman"/>
          <w:b/>
          <w:bCs/>
          <w:color w:val="2F4858"/>
          <w:sz w:val="21"/>
          <w:szCs w:val="21"/>
        </w:rPr>
        <w:t xml:space="preserve">表 16-1 常见问题与处置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00"/>
        <w:gridCol w:w="6100"/>
      </w:tblGrid>
      <w:tr>
        <w:trPr>
          <w:tblHeader/>
        </w:trPr>
        <w:tc>
          <w:tcPr>
            <w:tcW w:type="dxa" w:w="3100"/>
            <w:tcBorders>
              <w:top w:val="single" w:color="1F2A36" w:sz="12"/>
              <w:left w:val="none" w:color="FFFFFF" w:sz="0"/>
              <w:bottom w:val="single" w:color="1F2A36" w:sz="6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Hei" w:hAnsi="Times New Roman"/>
                <w:b/>
                <w:bCs/>
                <w:sz w:val="21"/>
                <w:szCs w:val="21"/>
              </w:rPr>
              <w:t xml:space="preserve">问题</w:t>
            </w:r>
          </w:p>
        </w:tc>
        <w:tc>
          <w:tcPr>
            <w:tcW w:type="dxa" w:w="6100"/>
            <w:tcBorders>
              <w:top w:val="single" w:color="1F2A36" w:sz="12"/>
              <w:left w:val="none" w:color="FFFFFF" w:sz="0"/>
              <w:bottom w:val="single" w:color="1F2A36" w:sz="6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Hei" w:hAnsi="Times New Roman"/>
                <w:b/>
                <w:bCs/>
                <w:sz w:val="21"/>
                <w:szCs w:val="21"/>
              </w:rPr>
              <w:t xml:space="preserve">处置方法</w:t>
            </w:r>
          </w:p>
        </w:tc>
      </w:tr>
      <w:t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排产失败提示缺失项</w:t>
            </w:r>
          </w:p>
        </w:tc>
        <w:tc>
          <w:tcPr>
            <w:tcW w:type="dxa" w:w="6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按第 4.5 节顺序检查主数据，并以订单“追溯”定位具体缺失</w:t>
            </w:r>
          </w:p>
        </w:tc>
      </w:tr>
      <w:t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排产被硬阻断（缺料 / 无设备）</w:t>
            </w:r>
          </w:p>
        </w:tc>
        <w:tc>
          <w:tcPr>
            <w:tcW w:type="dxa" w:w="6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查看冲突中心证据：缺料先下达采购建议；无设备查停用、维保与故障状态</w:t>
            </w:r>
          </w:p>
        </w:tc>
      </w:tr>
      <w:t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试排后想撤回</w:t>
            </w:r>
          </w:p>
        </w:tc>
        <w:tc>
          <w:tcPr>
            <w:tcW w:type="dxa" w:w="6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时间线点击上一检查点回滚（P2），回滚前系统自动再存档</w:t>
            </w:r>
          </w:p>
        </w:tc>
      </w:tr>
      <w:t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三模式对比结果一致</w:t>
            </w:r>
          </w:p>
        </w:tc>
        <w:tc>
          <w:tcPr>
            <w:tcW w:type="dxa" w:w="6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产能宽裕时三模式趋同，压缩交期制造压力后分化</w:t>
            </w:r>
          </w:p>
        </w:tc>
      </w:tr>
      <w:t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删除前端“项目”后数据仍在</w:t>
            </w:r>
          </w:p>
        </w:tc>
        <w:tc>
          <w:tcPr>
            <w:tcW w:type="dxa" w:w="6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项目属前端工作区，排产世界在后端，清世界用“清空数据重新初始化”</w:t>
            </w:r>
          </w:p>
        </w:tc>
      </w:tr>
      <w:t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Web 无法登录</w:t>
            </w:r>
          </w:p>
        </w:tc>
        <w:tc>
          <w:tcPr>
            <w:tcW w:type="dxa" w:w="6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检查 .env 的 JMS 配置与会话密钥；账号问题联系企业管理员</w:t>
            </w:r>
          </w:p>
        </w:tc>
      </w:tr>
      <w:tr>
        <w:tc>
          <w:tcPr>
            <w:tcW w:type="dxa" w:w="3100"/>
            <w:tcBorders>
              <w:top w:val="none" w:color="FFFFFF" w:sz="0"/>
              <w:left w:val="none" w:color="FFFFFF" w:sz="0"/>
              <w:bottom w:val="single" w:color="1F2A36" w:sz="12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查看接口定义</w:t>
            </w:r>
          </w:p>
        </w:tc>
        <w:tc>
          <w:tcPr>
            <w:tcW w:type="dxa" w:w="6100"/>
            <w:tcBorders>
              <w:top w:val="none" w:color="FFFFFF" w:sz="0"/>
              <w:left w:val="none" w:color="FFFFFF" w:sz="0"/>
              <w:bottom w:val="single" w:color="1F2A36" w:sz="12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Times New Roman" w:cs="Times New Roman" w:eastAsia="SimSun" w:hAnsi="Times New Roman"/>
                <w:b w:val="false"/>
                <w:bCs w:val="false"/>
                <w:sz w:val="21"/>
                <w:szCs w:val="21"/>
              </w:rPr>
              <w:t xml:space="preserve">启动后端后访问 http://localhost:8000/docs</w:t>
            </w:r>
          </w:p>
        </w:tc>
      </w:tr>
    </w:tbl>
    <w:p>
      <w:pPr>
        <w:spacing w:after="120" w:line="360"/>
      </w:pPr>
      <w:r>
        <w:rPr>
          <w:rFonts w:ascii="Times New Roman" w:cs="Times New Roman" w:eastAsia="SimSun" w:hAnsi="Times New Roman"/>
          <w:sz w:val="24"/>
          <w:szCs w:val="24"/>
        </w:rPr>
        <w:t xml:space="preserve"/>
      </w:r>
    </w:p>
    <w:p>
      <w:pPr>
        <w:pStyle w:val="Heading2"/>
        <w:spacing w:after="160" w:before="280"/>
      </w:pPr>
      <w:r>
        <w:rPr>
          <w:rFonts w:ascii="Times New Roman" w:cs="Times New Roman" w:eastAsia="SimHei" w:hAnsi="Times New Roman"/>
          <w:b/>
          <w:bCs/>
          <w:color w:val="1F2A36"/>
          <w:sz w:val="28"/>
          <w:szCs w:val="28"/>
        </w:rPr>
        <w:t xml:space="preserve">16.2 验收快速路径</w:t>
      </w:r>
    </w:p>
    <w:p>
      <w:pPr>
        <w:pStyle w:val="ListParagraph"/>
        <w:numPr>
          <w:ilvl w:val="0"/>
          <w:numId w:val="1"/>
        </w:numPr>
        <w:spacing w:after="120" w:line="360"/>
        <w:ind w:left="480"/>
      </w:pPr>
      <w:r>
        <w:rPr>
          <w:rFonts w:ascii="Times New Roman" w:cs="Times New Roman" w:eastAsia="SimSun" w:hAnsi="Times New Roman"/>
          <w:sz w:val="24"/>
          <w:szCs w:val="24"/>
        </w:rPr>
        <w:t xml:space="preserve">口令“分析一下数据文件”，工程目录导入成功；</w:t>
      </w:r>
    </w:p>
    <w:p>
      <w:pPr>
        <w:pStyle w:val="ListParagraph"/>
        <w:numPr>
          <w:ilvl w:val="0"/>
          <w:numId w:val="1"/>
        </w:numPr>
        <w:spacing w:after="120" w:line="360"/>
        <w:ind w:left="480"/>
      </w:pPr>
      <w:r>
        <w:rPr>
          <w:rFonts w:ascii="Times New Roman" w:cs="Times New Roman" w:eastAsia="SimSun" w:hAnsi="Times New Roman"/>
          <w:sz w:val="24"/>
          <w:szCs w:val="24"/>
        </w:rPr>
        <w:t xml:space="preserve">口令“执行MRP分解”，采购建议出现；口令“下达MRP建议单”，批准后转 RELEASED；</w:t>
      </w:r>
    </w:p>
    <w:p>
      <w:pPr>
        <w:pStyle w:val="ListParagraph"/>
        <w:numPr>
          <w:ilvl w:val="0"/>
          <w:numId w:val="1"/>
        </w:numPr>
        <w:spacing w:after="120" w:line="360"/>
        <w:ind w:left="480"/>
      </w:pPr>
      <w:r>
        <w:rPr>
          <w:rFonts w:ascii="Times New Roman" w:cs="Times New Roman" w:eastAsia="SimSun" w:hAnsi="Times New Roman"/>
          <w:sz w:val="24"/>
          <w:szCs w:val="24"/>
        </w:rPr>
        <w:t xml:space="preserve">口令“对比几种策略”，方案卡出现后采用，右侧甘特刷新；</w:t>
      </w:r>
    </w:p>
    <w:p>
      <w:pPr>
        <w:pStyle w:val="ListParagraph"/>
        <w:numPr>
          <w:ilvl w:val="0"/>
          <w:numId w:val="1"/>
        </w:numPr>
        <w:spacing w:after="120" w:line="360"/>
        <w:ind w:left="480"/>
      </w:pPr>
      <w:r>
        <w:rPr>
          <w:rFonts w:ascii="Times New Roman" w:cs="Times New Roman" w:eastAsia="SimSun" w:hAnsi="Times New Roman"/>
          <w:sz w:val="24"/>
          <w:szCs w:val="24"/>
        </w:rPr>
        <w:t xml:space="preserve">口令“存个档”，点击检查点回滚并完成 P2 确认；</w:t>
      </w:r>
    </w:p>
    <w:p>
      <w:pPr>
        <w:pStyle w:val="ListParagraph"/>
        <w:numPr>
          <w:ilvl w:val="0"/>
          <w:numId w:val="1"/>
        </w:numPr>
        <w:spacing w:after="120" w:line="360"/>
        <w:ind w:left="480"/>
      </w:pPr>
      <w:r>
        <w:rPr>
          <w:rFonts w:ascii="Times New Roman" w:cs="Times New Roman" w:eastAsia="SimSun" w:hAnsi="Times New Roman"/>
          <w:sz w:val="24"/>
          <w:szCs w:val="24"/>
        </w:rPr>
        <w:t xml:space="preserve">口令“跑一版柔性排产”，虚拟产线与工单出现；</w:t>
      </w:r>
    </w:p>
    <w:p>
      <w:pPr>
        <w:pStyle w:val="ListParagraph"/>
        <w:numPr>
          <w:ilvl w:val="0"/>
          <w:numId w:val="1"/>
        </w:numPr>
        <w:spacing w:after="120" w:line="360"/>
        <w:ind w:left="480"/>
      </w:pPr>
      <w:r>
        <w:rPr>
          <w:rFonts w:ascii="Times New Roman" w:cs="Times New Roman" w:eastAsia="SimSun" w:hAnsi="Times New Roman"/>
          <w:sz w:val="24"/>
          <w:szCs w:val="24"/>
        </w:rPr>
        <w:t xml:space="preserve">口令“发布这个版本”，P2 批准后版本转 PUBLISHED；</w:t>
      </w:r>
    </w:p>
    <w:p>
      <w:pPr>
        <w:pStyle w:val="ListParagraph"/>
        <w:numPr>
          <w:ilvl w:val="0"/>
          <w:numId w:val="1"/>
        </w:numPr>
        <w:spacing w:after="120" w:line="360"/>
        <w:ind w:left="480"/>
      </w:pPr>
      <w:r>
        <w:rPr>
          <w:rFonts w:ascii="Times New Roman" w:cs="Times New Roman" w:eastAsia="SimSun" w:hAnsi="Times New Roman"/>
          <w:sz w:val="24"/>
          <w:szCs w:val="24"/>
        </w:rPr>
        <w:t xml:space="preserve">回归测试：pytest tests/golden -q（当前基线 1071 项通过，1 项既有失败 test_preference_features，与业务无关）。</w:t>
      </w:r>
    </w:p>
    <w:sectPr>
      <w:headerReference w:type="default" r:id="rId7"/>
      <w:footerReference w:type="default" r:id="rId8"/>
      <w:pgSz w:w="11906" w:h="16838" w:orient="portrait"/>
      <w:pgMar w:top="1440" w:right="1560" w:bottom="1440" w:left="15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  <w:jc w:val="center"/>
    </w:pPr>
    <w:r>
      <w:rPr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center"/>
    </w:pPr>
    <w:r>
      <w:rPr>
        <w:rFonts w:ascii="Times New Roman" w:cs="Times New Roman" w:eastAsia="SimSun" w:hAnsi="Times New Roman"/>
        <w:color w:val="6B7A86"/>
        <w:sz w:val="18"/>
        <w:szCs w:val="18"/>
      </w:rPr>
      <w:t xml:space="preserve">工业智核 APS 计划排产智能体 · 操作手册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2026-09-01T02:42:02.758Z</dcterms:created>
  <dcterms:modified xsi:type="dcterms:W3CDTF">2026-09-01T02:42:02.759Z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